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ascii="黑体" w:hAnsi="黑体" w:eastAsia="黑体" w:cs="黑体"/>
          <w:sz w:val="32"/>
          <w:szCs w:val="32"/>
        </w:rPr>
      </w:pPr>
      <w:bookmarkStart w:id="0" w:name="_GoBack"/>
      <w:bookmarkEnd w:id="0"/>
      <w:r>
        <w:rPr>
          <w:rFonts w:hint="eastAsia" w:ascii="黑体" w:hAnsi="黑体" w:eastAsia="黑体" w:cs="黑体"/>
          <w:b/>
          <w:sz w:val="32"/>
          <w:szCs w:val="32"/>
        </w:rPr>
        <w:t>附件1：</w:t>
      </w:r>
      <w:r>
        <w:rPr>
          <w:rFonts w:hint="eastAsia" w:ascii="黑体" w:hAnsi="黑体" w:eastAsia="黑体" w:cs="黑体"/>
          <w:b/>
          <w:bCs w:val="0"/>
          <w:sz w:val="32"/>
          <w:szCs w:val="32"/>
        </w:rPr>
        <w:t>省评协举办培训班</w:t>
      </w:r>
    </w:p>
    <w:tbl>
      <w:tblPr>
        <w:tblStyle w:val="6"/>
        <w:tblpPr w:leftFromText="180" w:rightFromText="180" w:vertAnchor="text" w:horzAnchor="margin" w:tblpXSpec="center" w:tblpY="470"/>
        <w:tblW w:w="13420" w:type="dxa"/>
        <w:tblInd w:w="-2975" w:type="dxa"/>
        <w:tblLayout w:type="fixed"/>
        <w:tblCellMar>
          <w:top w:w="0" w:type="dxa"/>
          <w:left w:w="0" w:type="dxa"/>
          <w:bottom w:w="0" w:type="dxa"/>
          <w:right w:w="0" w:type="dxa"/>
        </w:tblCellMar>
      </w:tblPr>
      <w:tblGrid>
        <w:gridCol w:w="965"/>
        <w:gridCol w:w="1875"/>
        <w:gridCol w:w="5245"/>
        <w:gridCol w:w="1605"/>
        <w:gridCol w:w="1490"/>
        <w:gridCol w:w="1120"/>
        <w:gridCol w:w="1120"/>
      </w:tblGrid>
      <w:tr>
        <w:tblPrEx>
          <w:tblCellMar>
            <w:top w:w="0" w:type="dxa"/>
            <w:left w:w="0" w:type="dxa"/>
            <w:bottom w:w="0" w:type="dxa"/>
            <w:right w:w="0" w:type="dxa"/>
          </w:tblCellMar>
        </w:tblPrEx>
        <w:trPr>
          <w:trHeight w:val="605" w:hRule="atLeast"/>
        </w:trPr>
        <w:tc>
          <w:tcPr>
            <w:tcW w:w="96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bCs/>
                <w:sz w:val="20"/>
                <w:szCs w:val="20"/>
              </w:rPr>
            </w:pPr>
            <w:r>
              <w:rPr>
                <w:rFonts w:hint="eastAsia" w:ascii="宋体" w:hAnsi="宋体" w:eastAsia="宋体" w:cs="宋体"/>
                <w:b/>
                <w:bCs/>
                <w:sz w:val="20"/>
                <w:szCs w:val="20"/>
              </w:rPr>
              <w:t>序号</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bCs/>
                <w:sz w:val="20"/>
                <w:szCs w:val="20"/>
              </w:rPr>
            </w:pPr>
            <w:r>
              <w:rPr>
                <w:rFonts w:hint="eastAsia" w:ascii="宋体" w:hAnsi="宋体" w:eastAsia="宋体" w:cs="宋体"/>
                <w:b/>
                <w:bCs/>
                <w:sz w:val="20"/>
                <w:szCs w:val="20"/>
              </w:rPr>
              <w:t>培训班名称</w:t>
            </w:r>
          </w:p>
        </w:tc>
        <w:tc>
          <w:tcPr>
            <w:tcW w:w="5245"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宋体" w:hAnsi="宋体" w:eastAsia="宋体" w:cs="宋体"/>
                <w:b/>
                <w:bCs/>
                <w:sz w:val="20"/>
                <w:szCs w:val="20"/>
              </w:rPr>
            </w:pPr>
            <w:r>
              <w:rPr>
                <w:rFonts w:hint="eastAsia" w:ascii="宋体" w:hAnsi="宋体" w:eastAsia="宋体" w:cs="宋体"/>
                <w:b/>
                <w:bCs/>
                <w:sz w:val="20"/>
                <w:szCs w:val="20"/>
              </w:rPr>
              <w:t>培训内容</w:t>
            </w:r>
          </w:p>
        </w:tc>
        <w:tc>
          <w:tcPr>
            <w:tcW w:w="1605"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宋体" w:hAnsi="宋体" w:eastAsia="宋体" w:cs="宋体"/>
                <w:b/>
                <w:bCs/>
                <w:sz w:val="20"/>
                <w:szCs w:val="20"/>
              </w:rPr>
            </w:pPr>
            <w:r>
              <w:rPr>
                <w:rFonts w:hint="eastAsia" w:ascii="宋体" w:hAnsi="宋体" w:eastAsia="宋体" w:cs="宋体"/>
                <w:b/>
                <w:bCs/>
                <w:sz w:val="20"/>
                <w:szCs w:val="20"/>
              </w:rPr>
              <w:t>参加人员</w:t>
            </w:r>
          </w:p>
        </w:tc>
        <w:tc>
          <w:tcPr>
            <w:tcW w:w="149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bCs/>
                <w:sz w:val="20"/>
                <w:szCs w:val="20"/>
              </w:rPr>
            </w:pPr>
            <w:r>
              <w:rPr>
                <w:rFonts w:hint="eastAsia" w:ascii="宋体" w:hAnsi="宋体" w:eastAsia="宋体" w:cs="宋体"/>
                <w:b/>
                <w:bCs/>
                <w:sz w:val="20"/>
                <w:szCs w:val="20"/>
              </w:rPr>
              <w:t>时间</w:t>
            </w:r>
          </w:p>
        </w:tc>
        <w:tc>
          <w:tcPr>
            <w:tcW w:w="11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bCs/>
                <w:sz w:val="20"/>
                <w:szCs w:val="20"/>
              </w:rPr>
            </w:pPr>
            <w:r>
              <w:rPr>
                <w:rFonts w:hint="eastAsia" w:ascii="宋体" w:hAnsi="宋体" w:eastAsia="宋体" w:cs="宋体"/>
                <w:b/>
                <w:bCs/>
                <w:sz w:val="20"/>
                <w:szCs w:val="20"/>
              </w:rPr>
              <w:t>地  点</w:t>
            </w:r>
          </w:p>
        </w:tc>
        <w:tc>
          <w:tcPr>
            <w:tcW w:w="1120" w:type="dxa"/>
            <w:tcBorders>
              <w:top w:val="single" w:color="auto" w:sz="4" w:space="0"/>
              <w:left w:val="single" w:color="auto" w:sz="4" w:space="0"/>
              <w:bottom w:val="single" w:color="auto" w:sz="4" w:space="0"/>
              <w:right w:val="single" w:color="auto" w:sz="4" w:space="0"/>
            </w:tcBorders>
            <w:vAlign w:val="top"/>
          </w:tcPr>
          <w:p>
            <w:pPr>
              <w:adjustRightInd w:val="0"/>
              <w:snapToGrid w:val="0"/>
              <w:jc w:val="center"/>
              <w:rPr>
                <w:rFonts w:hint="eastAsia" w:ascii="宋体" w:hAnsi="宋体" w:eastAsia="宋体" w:cs="宋体"/>
                <w:b/>
                <w:bCs/>
                <w:sz w:val="20"/>
                <w:szCs w:val="20"/>
              </w:rPr>
            </w:pPr>
            <w:r>
              <w:rPr>
                <w:rFonts w:hint="eastAsia" w:ascii="宋体" w:hAnsi="宋体" w:eastAsia="宋体" w:cs="宋体"/>
                <w:b/>
                <w:bCs/>
                <w:sz w:val="20"/>
                <w:szCs w:val="20"/>
              </w:rPr>
              <w:t>举办</w:t>
            </w:r>
          </w:p>
          <w:p>
            <w:pPr>
              <w:adjustRightInd w:val="0"/>
              <w:snapToGrid w:val="0"/>
              <w:jc w:val="center"/>
              <w:rPr>
                <w:rFonts w:hint="eastAsia" w:ascii="宋体" w:hAnsi="宋体" w:eastAsia="宋体" w:cs="宋体"/>
                <w:b/>
                <w:bCs/>
                <w:sz w:val="20"/>
                <w:szCs w:val="20"/>
              </w:rPr>
            </w:pPr>
            <w:r>
              <w:rPr>
                <w:rFonts w:hint="eastAsia" w:ascii="宋体" w:hAnsi="宋体" w:eastAsia="宋体" w:cs="宋体"/>
                <w:b/>
                <w:bCs/>
                <w:sz w:val="20"/>
                <w:szCs w:val="20"/>
              </w:rPr>
              <w:t>单位</w:t>
            </w:r>
          </w:p>
        </w:tc>
      </w:tr>
      <w:tr>
        <w:tblPrEx>
          <w:tblCellMar>
            <w:top w:w="0" w:type="dxa"/>
            <w:left w:w="0" w:type="dxa"/>
            <w:bottom w:w="0" w:type="dxa"/>
            <w:right w:w="0" w:type="dxa"/>
          </w:tblCellMar>
        </w:tblPrEx>
        <w:trPr>
          <w:trHeight w:val="1271" w:hRule="atLeast"/>
        </w:trPr>
        <w:tc>
          <w:tcPr>
            <w:tcW w:w="96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1</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kern w:val="2"/>
                <w:sz w:val="20"/>
                <w:szCs w:val="20"/>
                <w:lang w:val="en-US" w:eastAsia="zh-CN" w:bidi="ar-SA"/>
              </w:rPr>
            </w:pPr>
            <w:r>
              <w:rPr>
                <w:rFonts w:hint="eastAsia" w:ascii="宋体" w:hAnsi="宋体" w:eastAsia="宋体" w:cs="宋体"/>
                <w:sz w:val="20"/>
                <w:szCs w:val="20"/>
                <w:lang w:val="en-US" w:eastAsia="zh-CN"/>
              </w:rPr>
              <w:t>新登记人员培训班</w:t>
            </w:r>
          </w:p>
        </w:tc>
        <w:tc>
          <w:tcPr>
            <w:tcW w:w="5245" w:type="dxa"/>
            <w:tcBorders>
              <w:top w:val="single" w:color="auto" w:sz="4" w:space="0"/>
              <w:left w:val="nil"/>
              <w:bottom w:val="single" w:color="auto" w:sz="4" w:space="0"/>
              <w:right w:val="single" w:color="auto" w:sz="4" w:space="0"/>
            </w:tcBorders>
            <w:vAlign w:val="center"/>
          </w:tcPr>
          <w:p>
            <w:pPr>
              <w:adjustRightInd w:val="0"/>
              <w:snapToGrid w:val="0"/>
              <w:rPr>
                <w:rFonts w:hint="eastAsia" w:ascii="宋体" w:hAnsi="宋体" w:eastAsia="宋体" w:cs="宋体"/>
                <w:sz w:val="20"/>
                <w:szCs w:val="20"/>
                <w:lang w:val="en-US" w:eastAsia="zh-CN"/>
              </w:rPr>
            </w:pPr>
          </w:p>
          <w:p>
            <w:pPr>
              <w:adjustRightInd w:val="0"/>
              <w:snapToGrid w:val="0"/>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1.资产评估报告撰写和底稿整理</w:t>
            </w:r>
          </w:p>
          <w:p>
            <w:pPr>
              <w:adjustRightInd w:val="0"/>
              <w:snapToGrid w:val="0"/>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2.评估程序实施和准则</w:t>
            </w:r>
          </w:p>
          <w:p>
            <w:pPr>
              <w:adjustRightInd w:val="0"/>
              <w:snapToGrid w:val="0"/>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3.资产评估相关财务知识</w:t>
            </w:r>
          </w:p>
          <w:p>
            <w:pPr>
              <w:adjustRightInd w:val="0"/>
              <w:snapToGrid w:val="0"/>
              <w:rPr>
                <w:rFonts w:hint="eastAsia" w:ascii="宋体" w:hAnsi="宋体" w:eastAsia="宋体" w:cs="宋体"/>
                <w:kern w:val="2"/>
                <w:sz w:val="20"/>
                <w:szCs w:val="20"/>
                <w:lang w:val="en-US" w:eastAsia="zh-CN" w:bidi="ar-SA"/>
              </w:rPr>
            </w:pPr>
          </w:p>
        </w:tc>
        <w:tc>
          <w:tcPr>
            <w:tcW w:w="1605"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宋体" w:hAnsi="宋体" w:eastAsia="宋体" w:cs="宋体"/>
                <w:kern w:val="2"/>
                <w:sz w:val="20"/>
                <w:szCs w:val="20"/>
                <w:lang w:val="en-US" w:eastAsia="zh-CN" w:bidi="ar-SA"/>
              </w:rPr>
            </w:pPr>
            <w:r>
              <w:rPr>
                <w:rFonts w:hint="eastAsia" w:ascii="宋体" w:hAnsi="宋体" w:eastAsia="宋体" w:cs="宋体"/>
                <w:sz w:val="20"/>
                <w:szCs w:val="20"/>
                <w:lang w:val="en-US" w:eastAsia="zh-CN"/>
              </w:rPr>
              <w:t>2022年新登记和2022年未完成继续教育评估师</w:t>
            </w:r>
          </w:p>
        </w:tc>
        <w:tc>
          <w:tcPr>
            <w:tcW w:w="149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bCs/>
                <w:sz w:val="20"/>
                <w:szCs w:val="20"/>
                <w:lang w:val="en-US" w:eastAsia="zh-CN"/>
              </w:rPr>
            </w:pPr>
            <w:r>
              <w:rPr>
                <w:rFonts w:hint="eastAsia" w:ascii="宋体" w:hAnsi="宋体" w:eastAsia="宋体" w:cs="宋体"/>
                <w:b w:val="0"/>
                <w:bCs w:val="0"/>
                <w:sz w:val="20"/>
                <w:szCs w:val="20"/>
                <w:lang w:val="en-US" w:eastAsia="zh-CN"/>
              </w:rPr>
              <w:t>2月22日</w:t>
            </w:r>
          </w:p>
        </w:tc>
        <w:tc>
          <w:tcPr>
            <w:tcW w:w="11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武汉</w:t>
            </w:r>
          </w:p>
        </w:tc>
        <w:tc>
          <w:tcPr>
            <w:tcW w:w="11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bCs/>
                <w:sz w:val="20"/>
                <w:szCs w:val="20"/>
              </w:rPr>
            </w:pPr>
            <w:r>
              <w:rPr>
                <w:rFonts w:hint="eastAsia" w:ascii="宋体" w:hAnsi="宋体" w:eastAsia="宋体" w:cs="宋体"/>
                <w:sz w:val="20"/>
                <w:szCs w:val="20"/>
                <w:lang w:val="en-US" w:eastAsia="zh-CN"/>
              </w:rPr>
              <w:t>省评协</w:t>
            </w:r>
          </w:p>
        </w:tc>
      </w:tr>
      <w:tr>
        <w:tblPrEx>
          <w:tblCellMar>
            <w:top w:w="0" w:type="dxa"/>
            <w:left w:w="0" w:type="dxa"/>
            <w:bottom w:w="0" w:type="dxa"/>
            <w:right w:w="0" w:type="dxa"/>
          </w:tblCellMar>
        </w:tblPrEx>
        <w:trPr>
          <w:trHeight w:val="1271" w:hRule="atLeast"/>
        </w:trPr>
        <w:tc>
          <w:tcPr>
            <w:tcW w:w="96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3</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sz w:val="20"/>
                <w:szCs w:val="20"/>
              </w:rPr>
            </w:pPr>
            <w:r>
              <w:rPr>
                <w:rFonts w:hint="eastAsia" w:ascii="宋体" w:hAnsi="宋体" w:eastAsia="宋体" w:cs="宋体"/>
                <w:b w:val="0"/>
                <w:bCs w:val="0"/>
                <w:sz w:val="20"/>
                <w:szCs w:val="20"/>
              </w:rPr>
              <w:t>司法评估业务</w:t>
            </w:r>
          </w:p>
          <w:p>
            <w:pPr>
              <w:adjustRightInd w:val="0"/>
              <w:snapToGrid w:val="0"/>
              <w:jc w:val="center"/>
              <w:rPr>
                <w:rFonts w:hint="eastAsia" w:ascii="宋体" w:hAnsi="宋体" w:eastAsia="宋体" w:cs="宋体"/>
                <w:b/>
                <w:bCs/>
                <w:kern w:val="2"/>
                <w:sz w:val="20"/>
                <w:szCs w:val="20"/>
                <w:lang w:val="en-US" w:eastAsia="zh-CN" w:bidi="ar-SA"/>
              </w:rPr>
            </w:pPr>
            <w:r>
              <w:rPr>
                <w:rFonts w:hint="eastAsia" w:ascii="宋体" w:hAnsi="宋体" w:eastAsia="宋体" w:cs="宋体"/>
                <w:b w:val="0"/>
                <w:bCs w:val="0"/>
                <w:sz w:val="20"/>
                <w:szCs w:val="20"/>
                <w:lang w:val="en-US" w:eastAsia="zh-CN"/>
              </w:rPr>
              <w:t>培训班</w:t>
            </w:r>
          </w:p>
        </w:tc>
        <w:tc>
          <w:tcPr>
            <w:tcW w:w="5245" w:type="dxa"/>
            <w:tcBorders>
              <w:top w:val="single" w:color="auto" w:sz="4" w:space="0"/>
              <w:left w:val="nil"/>
              <w:bottom w:val="single" w:color="auto" w:sz="4" w:space="0"/>
              <w:right w:val="single" w:color="auto" w:sz="4" w:space="0"/>
            </w:tcBorders>
            <w:vAlign w:val="center"/>
          </w:tcPr>
          <w:p>
            <w:pPr>
              <w:numPr>
                <w:ilvl w:val="0"/>
                <w:numId w:val="1"/>
              </w:numPr>
              <w:adjustRightInd w:val="0"/>
              <w:snapToGrid w:val="0"/>
              <w:jc w:val="left"/>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rPr>
              <w:t>省评协受理人民法院委托专业技术评审</w:t>
            </w:r>
            <w:r>
              <w:rPr>
                <w:rFonts w:hint="eastAsia" w:ascii="宋体" w:hAnsi="宋体" w:eastAsia="宋体" w:cs="宋体"/>
                <w:b w:val="0"/>
                <w:bCs w:val="0"/>
                <w:sz w:val="20"/>
                <w:szCs w:val="20"/>
                <w:lang w:val="en-US" w:eastAsia="zh-CN"/>
              </w:rPr>
              <w:t>案例讲解</w:t>
            </w:r>
          </w:p>
          <w:p>
            <w:pPr>
              <w:numPr>
                <w:ilvl w:val="0"/>
                <w:numId w:val="1"/>
              </w:numPr>
              <w:adjustRightInd w:val="0"/>
              <w:snapToGrid w:val="0"/>
              <w:jc w:val="left"/>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机构从事司法评估业务的注意事项</w:t>
            </w:r>
          </w:p>
          <w:p>
            <w:pPr>
              <w:numPr>
                <w:ilvl w:val="0"/>
                <w:numId w:val="1"/>
              </w:numPr>
              <w:adjustRightInd w:val="0"/>
              <w:snapToGrid w:val="0"/>
              <w:jc w:val="left"/>
              <w:rPr>
                <w:rFonts w:hint="eastAsia" w:ascii="宋体" w:hAnsi="宋体" w:eastAsia="宋体" w:cs="宋体"/>
                <w:b w:val="0"/>
                <w:bCs w:val="0"/>
                <w:kern w:val="2"/>
                <w:sz w:val="20"/>
                <w:szCs w:val="20"/>
                <w:lang w:val="en-US" w:eastAsia="zh-CN" w:bidi="ar-SA"/>
              </w:rPr>
            </w:pPr>
            <w:r>
              <w:rPr>
                <w:rFonts w:hint="eastAsia" w:ascii="宋体" w:hAnsi="宋体" w:eastAsia="宋体" w:cs="宋体"/>
                <w:b w:val="0"/>
                <w:bCs w:val="0"/>
                <w:sz w:val="20"/>
                <w:szCs w:val="20"/>
                <w:lang w:val="en-US" w:eastAsia="zh-CN"/>
              </w:rPr>
              <w:t>司法评估项目的有关要求</w:t>
            </w:r>
          </w:p>
        </w:tc>
        <w:tc>
          <w:tcPr>
            <w:tcW w:w="1605"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宋体" w:hAnsi="宋体" w:eastAsia="宋体" w:cs="宋体"/>
                <w:b/>
                <w:bCs/>
                <w:kern w:val="2"/>
                <w:sz w:val="20"/>
                <w:szCs w:val="20"/>
                <w:lang w:val="en-US" w:eastAsia="zh-CN" w:bidi="ar-SA"/>
              </w:rPr>
            </w:pPr>
            <w:r>
              <w:rPr>
                <w:rFonts w:hint="eastAsia" w:ascii="宋体" w:hAnsi="宋体" w:eastAsia="宋体" w:cs="宋体"/>
                <w:b w:val="0"/>
                <w:bCs w:val="0"/>
                <w:sz w:val="20"/>
                <w:szCs w:val="20"/>
                <w:lang w:val="en-US" w:eastAsia="zh-CN"/>
              </w:rPr>
              <w:t>资产评估师</w:t>
            </w:r>
          </w:p>
        </w:tc>
        <w:tc>
          <w:tcPr>
            <w:tcW w:w="149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bCs/>
                <w:sz w:val="20"/>
                <w:szCs w:val="20"/>
                <w:lang w:val="en-US" w:eastAsia="zh-CN"/>
              </w:rPr>
            </w:pPr>
            <w:r>
              <w:rPr>
                <w:rFonts w:hint="eastAsia" w:ascii="宋体" w:hAnsi="宋体" w:eastAsia="宋体" w:cs="宋体"/>
                <w:b w:val="0"/>
                <w:bCs w:val="0"/>
                <w:sz w:val="20"/>
                <w:szCs w:val="20"/>
                <w:lang w:val="en-US" w:eastAsia="zh-CN"/>
              </w:rPr>
              <w:t>3月</w:t>
            </w:r>
          </w:p>
        </w:tc>
        <w:tc>
          <w:tcPr>
            <w:tcW w:w="11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线上</w:t>
            </w:r>
          </w:p>
        </w:tc>
        <w:tc>
          <w:tcPr>
            <w:tcW w:w="11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bCs/>
                <w:sz w:val="20"/>
                <w:szCs w:val="20"/>
              </w:rPr>
            </w:pPr>
            <w:r>
              <w:rPr>
                <w:rFonts w:hint="eastAsia" w:ascii="宋体" w:hAnsi="宋体" w:eastAsia="宋体" w:cs="宋体"/>
                <w:sz w:val="20"/>
                <w:szCs w:val="20"/>
                <w:lang w:val="en-US" w:eastAsia="zh-CN"/>
              </w:rPr>
              <w:t>省评协</w:t>
            </w:r>
          </w:p>
        </w:tc>
      </w:tr>
      <w:tr>
        <w:tblPrEx>
          <w:tblCellMar>
            <w:top w:w="0" w:type="dxa"/>
            <w:left w:w="0" w:type="dxa"/>
            <w:bottom w:w="0" w:type="dxa"/>
            <w:right w:w="0" w:type="dxa"/>
          </w:tblCellMar>
        </w:tblPrEx>
        <w:trPr>
          <w:trHeight w:val="1271" w:hRule="atLeast"/>
        </w:trPr>
        <w:tc>
          <w:tcPr>
            <w:tcW w:w="96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kern w:val="2"/>
                <w:sz w:val="20"/>
                <w:szCs w:val="20"/>
                <w:lang w:val="en-US" w:eastAsia="zh-CN" w:bidi="ar-SA"/>
              </w:rPr>
            </w:pPr>
            <w:r>
              <w:rPr>
                <w:rFonts w:hint="eastAsia" w:ascii="宋体" w:hAnsi="宋体" w:eastAsia="宋体" w:cs="宋体"/>
                <w:sz w:val="20"/>
                <w:szCs w:val="20"/>
                <w:lang w:val="en-US" w:eastAsia="zh-CN"/>
              </w:rPr>
              <w:t>2</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kern w:val="2"/>
                <w:sz w:val="20"/>
                <w:szCs w:val="20"/>
                <w:lang w:val="en-US" w:eastAsia="zh-CN" w:bidi="ar-SA"/>
              </w:rPr>
            </w:pPr>
            <w:r>
              <w:rPr>
                <w:rFonts w:hint="eastAsia" w:ascii="宋体" w:hAnsi="宋体" w:eastAsia="宋体" w:cs="宋体"/>
                <w:sz w:val="20"/>
                <w:szCs w:val="20"/>
              </w:rPr>
              <w:t>资产评估实务基础培训班</w:t>
            </w:r>
          </w:p>
        </w:tc>
        <w:tc>
          <w:tcPr>
            <w:tcW w:w="5245" w:type="dxa"/>
            <w:tcBorders>
              <w:top w:val="single" w:color="auto" w:sz="4" w:space="0"/>
              <w:left w:val="nil"/>
              <w:bottom w:val="single" w:color="auto" w:sz="4" w:space="0"/>
              <w:right w:val="single" w:color="auto" w:sz="4" w:space="0"/>
            </w:tcBorders>
            <w:vAlign w:val="center"/>
          </w:tcPr>
          <w:p>
            <w:pPr>
              <w:adjustRightInd w:val="0"/>
              <w:snapToGrid w:val="0"/>
              <w:jc w:val="left"/>
              <w:rPr>
                <w:rFonts w:hint="eastAsia" w:ascii="宋体" w:hAnsi="宋体" w:eastAsia="宋体" w:cs="宋体"/>
                <w:sz w:val="20"/>
                <w:szCs w:val="20"/>
              </w:rPr>
            </w:pPr>
            <w:r>
              <w:rPr>
                <w:rFonts w:hint="eastAsia" w:ascii="宋体" w:hAnsi="宋体" w:eastAsia="宋体" w:cs="宋体"/>
                <w:sz w:val="20"/>
                <w:szCs w:val="20"/>
              </w:rPr>
              <w:t>1.评估报告编制实务及案例讲解</w:t>
            </w:r>
          </w:p>
          <w:p>
            <w:pPr>
              <w:adjustRightInd w:val="0"/>
              <w:snapToGrid w:val="0"/>
              <w:jc w:val="left"/>
              <w:rPr>
                <w:rFonts w:hint="eastAsia" w:ascii="宋体" w:hAnsi="宋体" w:eastAsia="宋体" w:cs="宋体"/>
                <w:sz w:val="20"/>
                <w:szCs w:val="20"/>
              </w:rPr>
            </w:pPr>
            <w:r>
              <w:rPr>
                <w:rFonts w:hint="eastAsia" w:ascii="宋体" w:hAnsi="宋体" w:eastAsia="宋体" w:cs="宋体"/>
                <w:sz w:val="20"/>
                <w:szCs w:val="20"/>
              </w:rPr>
              <w:t>2.评估工作底稿编制实务及案例讲解</w:t>
            </w:r>
          </w:p>
          <w:p>
            <w:pPr>
              <w:adjustRightInd w:val="0"/>
              <w:snapToGrid w:val="0"/>
              <w:jc w:val="left"/>
              <w:rPr>
                <w:rFonts w:hint="eastAsia" w:ascii="宋体" w:hAnsi="宋体" w:eastAsia="宋体" w:cs="宋体"/>
                <w:kern w:val="2"/>
                <w:sz w:val="20"/>
                <w:szCs w:val="20"/>
                <w:lang w:val="en-US" w:eastAsia="zh-CN" w:bidi="ar-SA"/>
              </w:rPr>
            </w:pPr>
            <w:r>
              <w:rPr>
                <w:rFonts w:hint="eastAsia" w:ascii="宋体" w:hAnsi="宋体" w:eastAsia="宋体" w:cs="宋体"/>
                <w:sz w:val="20"/>
                <w:szCs w:val="20"/>
                <w:lang w:val="en-US" w:eastAsia="zh-CN"/>
              </w:rPr>
              <w:t>3</w:t>
            </w:r>
            <w:r>
              <w:rPr>
                <w:rFonts w:hint="eastAsia" w:ascii="宋体" w:hAnsi="宋体" w:eastAsia="宋体" w:cs="宋体"/>
                <w:sz w:val="20"/>
                <w:szCs w:val="20"/>
              </w:rPr>
              <w:t>.资产评估中的核查验证</w:t>
            </w:r>
          </w:p>
        </w:tc>
        <w:tc>
          <w:tcPr>
            <w:tcW w:w="1605"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宋体" w:hAnsi="宋体" w:eastAsia="宋体" w:cs="宋体"/>
                <w:kern w:val="2"/>
                <w:sz w:val="20"/>
                <w:szCs w:val="20"/>
                <w:lang w:val="en-US" w:eastAsia="zh-CN" w:bidi="ar-SA"/>
              </w:rPr>
            </w:pPr>
            <w:r>
              <w:rPr>
                <w:rFonts w:hint="eastAsia" w:ascii="宋体" w:hAnsi="宋体" w:eastAsia="宋体" w:cs="宋体"/>
                <w:sz w:val="20"/>
                <w:szCs w:val="20"/>
              </w:rPr>
              <w:t>资产评估专业人员</w:t>
            </w:r>
          </w:p>
        </w:tc>
        <w:tc>
          <w:tcPr>
            <w:tcW w:w="149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bCs/>
                <w:sz w:val="20"/>
                <w:szCs w:val="20"/>
              </w:rPr>
            </w:pPr>
            <w:r>
              <w:rPr>
                <w:rFonts w:hint="eastAsia" w:ascii="宋体" w:hAnsi="宋体" w:eastAsia="宋体" w:cs="宋体"/>
                <w:b w:val="0"/>
                <w:bCs w:val="0"/>
                <w:sz w:val="20"/>
                <w:szCs w:val="20"/>
                <w:lang w:val="en-US" w:eastAsia="zh-CN"/>
              </w:rPr>
              <w:t>4月</w:t>
            </w:r>
          </w:p>
        </w:tc>
        <w:tc>
          <w:tcPr>
            <w:tcW w:w="11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bCs/>
                <w:sz w:val="20"/>
                <w:szCs w:val="20"/>
                <w:lang w:val="en-US" w:eastAsia="zh-CN"/>
              </w:rPr>
            </w:pPr>
            <w:r>
              <w:rPr>
                <w:rFonts w:hint="eastAsia" w:ascii="宋体" w:hAnsi="宋体" w:eastAsia="宋体" w:cs="宋体"/>
                <w:sz w:val="20"/>
                <w:szCs w:val="20"/>
                <w:lang w:val="en-US" w:eastAsia="zh-CN"/>
              </w:rPr>
              <w:t>黄石</w:t>
            </w:r>
          </w:p>
        </w:tc>
        <w:tc>
          <w:tcPr>
            <w:tcW w:w="11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bCs/>
                <w:sz w:val="20"/>
                <w:szCs w:val="20"/>
              </w:rPr>
            </w:pPr>
            <w:r>
              <w:rPr>
                <w:rFonts w:hint="eastAsia" w:ascii="宋体" w:hAnsi="宋体" w:eastAsia="宋体" w:cs="宋体"/>
                <w:sz w:val="20"/>
                <w:szCs w:val="20"/>
                <w:lang w:val="en-US" w:eastAsia="zh-CN"/>
              </w:rPr>
              <w:t>省评协</w:t>
            </w:r>
          </w:p>
        </w:tc>
      </w:tr>
      <w:tr>
        <w:tblPrEx>
          <w:tblCellMar>
            <w:top w:w="0" w:type="dxa"/>
            <w:left w:w="0" w:type="dxa"/>
            <w:bottom w:w="0" w:type="dxa"/>
            <w:right w:w="0" w:type="dxa"/>
          </w:tblCellMar>
        </w:tblPrEx>
        <w:trPr>
          <w:trHeight w:val="1251" w:hRule="atLeast"/>
        </w:trPr>
        <w:tc>
          <w:tcPr>
            <w:tcW w:w="96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kern w:val="2"/>
                <w:sz w:val="20"/>
                <w:szCs w:val="20"/>
                <w:lang w:val="en-US" w:eastAsia="zh-CN" w:bidi="ar-SA"/>
              </w:rPr>
            </w:pPr>
            <w:r>
              <w:rPr>
                <w:rFonts w:hint="eastAsia" w:ascii="宋体" w:hAnsi="宋体" w:eastAsia="宋体" w:cs="宋体"/>
                <w:sz w:val="20"/>
                <w:szCs w:val="20"/>
                <w:lang w:val="en-US" w:eastAsia="zh-CN"/>
              </w:rPr>
              <w:t>4</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kern w:val="2"/>
                <w:sz w:val="20"/>
                <w:szCs w:val="20"/>
                <w:lang w:val="en-US" w:eastAsia="zh-CN" w:bidi="ar-SA"/>
              </w:rPr>
            </w:pPr>
            <w:r>
              <w:rPr>
                <w:rFonts w:hint="eastAsia" w:ascii="宋体" w:hAnsi="宋体" w:eastAsia="宋体" w:cs="宋体"/>
                <w:sz w:val="20"/>
                <w:szCs w:val="20"/>
              </w:rPr>
              <w:t>资产评估执业规范培训班</w:t>
            </w:r>
          </w:p>
        </w:tc>
        <w:tc>
          <w:tcPr>
            <w:tcW w:w="5245" w:type="dxa"/>
            <w:tcBorders>
              <w:top w:val="single" w:color="auto" w:sz="4" w:space="0"/>
              <w:left w:val="nil"/>
              <w:bottom w:val="single" w:color="auto" w:sz="4" w:space="0"/>
              <w:right w:val="single" w:color="auto" w:sz="4" w:space="0"/>
            </w:tcBorders>
            <w:vAlign w:val="center"/>
          </w:tcPr>
          <w:p>
            <w:pPr>
              <w:adjustRightInd w:val="0"/>
              <w:snapToGrid w:val="0"/>
              <w:rPr>
                <w:rFonts w:hint="eastAsia" w:ascii="宋体" w:hAnsi="宋体" w:eastAsia="宋体" w:cs="宋体"/>
                <w:sz w:val="20"/>
                <w:szCs w:val="20"/>
              </w:rPr>
            </w:pPr>
          </w:p>
          <w:p>
            <w:pPr>
              <w:adjustRightInd w:val="0"/>
              <w:snapToGrid w:val="0"/>
              <w:rPr>
                <w:rFonts w:hint="eastAsia" w:ascii="宋体" w:hAnsi="宋体" w:eastAsia="宋体" w:cs="宋体"/>
                <w:sz w:val="20"/>
                <w:szCs w:val="20"/>
              </w:rPr>
            </w:pPr>
            <w:r>
              <w:rPr>
                <w:rFonts w:hint="eastAsia" w:ascii="宋体" w:hAnsi="宋体" w:eastAsia="宋体" w:cs="宋体"/>
                <w:sz w:val="20"/>
                <w:szCs w:val="20"/>
              </w:rPr>
              <w:t>1.资产评估准则介绍</w:t>
            </w:r>
          </w:p>
          <w:p>
            <w:pPr>
              <w:adjustRightInd w:val="0"/>
              <w:snapToGrid w:val="0"/>
              <w:rPr>
                <w:rFonts w:hint="eastAsia" w:ascii="宋体" w:hAnsi="宋体" w:eastAsia="宋体" w:cs="宋体"/>
                <w:sz w:val="20"/>
                <w:szCs w:val="20"/>
              </w:rPr>
            </w:pPr>
            <w:r>
              <w:rPr>
                <w:rFonts w:hint="eastAsia" w:ascii="宋体" w:hAnsi="宋体" w:eastAsia="宋体" w:cs="宋体"/>
                <w:sz w:val="20"/>
                <w:szCs w:val="20"/>
              </w:rPr>
              <w:t>2.评估程序实务及案例讲解</w:t>
            </w:r>
          </w:p>
          <w:p>
            <w:pPr>
              <w:adjustRightInd w:val="0"/>
              <w:snapToGrid w:val="0"/>
              <w:rPr>
                <w:rFonts w:hint="eastAsia" w:ascii="宋体" w:hAnsi="宋体" w:eastAsia="宋体" w:cs="宋体"/>
                <w:sz w:val="20"/>
                <w:szCs w:val="20"/>
              </w:rPr>
            </w:pPr>
            <w:r>
              <w:rPr>
                <w:rFonts w:hint="eastAsia" w:ascii="宋体" w:hAnsi="宋体" w:eastAsia="宋体" w:cs="宋体"/>
                <w:sz w:val="20"/>
                <w:szCs w:val="20"/>
              </w:rPr>
              <w:t>3.评估报告编制实务及案例讲解</w:t>
            </w:r>
          </w:p>
          <w:p>
            <w:pPr>
              <w:adjustRightInd w:val="0"/>
              <w:snapToGrid w:val="0"/>
              <w:rPr>
                <w:rFonts w:hint="eastAsia" w:ascii="宋体" w:hAnsi="宋体" w:eastAsia="宋体" w:cs="宋体"/>
                <w:sz w:val="20"/>
                <w:szCs w:val="20"/>
              </w:rPr>
            </w:pPr>
            <w:r>
              <w:rPr>
                <w:rFonts w:hint="eastAsia" w:ascii="宋体" w:hAnsi="宋体" w:eastAsia="宋体" w:cs="宋体"/>
                <w:sz w:val="20"/>
                <w:szCs w:val="20"/>
              </w:rPr>
              <w:t>4.评估工作底稿编制实务及案例讲解</w:t>
            </w:r>
          </w:p>
          <w:p>
            <w:pPr>
              <w:adjustRightInd w:val="0"/>
              <w:snapToGrid w:val="0"/>
              <w:rPr>
                <w:rFonts w:hint="eastAsia" w:ascii="宋体" w:hAnsi="宋体" w:eastAsia="宋体" w:cs="宋体"/>
                <w:sz w:val="20"/>
                <w:szCs w:val="20"/>
              </w:rPr>
            </w:pPr>
            <w:r>
              <w:rPr>
                <w:rFonts w:hint="eastAsia" w:ascii="宋体" w:hAnsi="宋体" w:eastAsia="宋体" w:cs="宋体"/>
                <w:sz w:val="20"/>
                <w:szCs w:val="20"/>
              </w:rPr>
              <w:t>5.评估师职业道德及执业风险案例讲解</w:t>
            </w:r>
          </w:p>
          <w:p>
            <w:pPr>
              <w:adjustRightInd w:val="0"/>
              <w:snapToGrid w:val="0"/>
              <w:rPr>
                <w:rFonts w:hint="eastAsia" w:ascii="宋体" w:hAnsi="宋体" w:eastAsia="宋体" w:cs="宋体"/>
                <w:kern w:val="2"/>
                <w:sz w:val="20"/>
                <w:szCs w:val="20"/>
                <w:lang w:val="en-US" w:eastAsia="zh-CN" w:bidi="ar-SA"/>
              </w:rPr>
            </w:pPr>
          </w:p>
        </w:tc>
        <w:tc>
          <w:tcPr>
            <w:tcW w:w="1605"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宋体" w:hAnsi="宋体" w:eastAsia="宋体" w:cs="宋体"/>
                <w:kern w:val="2"/>
                <w:sz w:val="20"/>
                <w:szCs w:val="20"/>
                <w:lang w:val="en-US" w:eastAsia="zh-CN" w:bidi="ar-SA"/>
              </w:rPr>
            </w:pPr>
            <w:r>
              <w:rPr>
                <w:rFonts w:hint="eastAsia" w:ascii="宋体" w:hAnsi="宋体" w:eastAsia="宋体" w:cs="宋体"/>
                <w:sz w:val="20"/>
                <w:szCs w:val="20"/>
              </w:rPr>
              <w:t>资产评估专业人员</w:t>
            </w:r>
          </w:p>
        </w:tc>
        <w:tc>
          <w:tcPr>
            <w:tcW w:w="149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6月</w:t>
            </w:r>
          </w:p>
        </w:tc>
        <w:tc>
          <w:tcPr>
            <w:tcW w:w="11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武汉</w:t>
            </w:r>
          </w:p>
        </w:tc>
        <w:tc>
          <w:tcPr>
            <w:tcW w:w="11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省评协</w:t>
            </w:r>
          </w:p>
        </w:tc>
      </w:tr>
      <w:tr>
        <w:tblPrEx>
          <w:tblCellMar>
            <w:top w:w="0" w:type="dxa"/>
            <w:left w:w="0" w:type="dxa"/>
            <w:bottom w:w="0" w:type="dxa"/>
            <w:right w:w="0" w:type="dxa"/>
          </w:tblCellMar>
        </w:tblPrEx>
        <w:trPr>
          <w:trHeight w:val="1943" w:hRule="atLeast"/>
        </w:trPr>
        <w:tc>
          <w:tcPr>
            <w:tcW w:w="96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4</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kern w:val="2"/>
                <w:sz w:val="20"/>
                <w:szCs w:val="20"/>
                <w:lang w:val="en-US" w:eastAsia="zh-CN" w:bidi="ar-SA"/>
              </w:rPr>
            </w:pPr>
            <w:r>
              <w:rPr>
                <w:rFonts w:hint="eastAsia" w:ascii="宋体" w:hAnsi="宋体" w:eastAsia="宋体" w:cs="宋体"/>
                <w:sz w:val="20"/>
                <w:szCs w:val="20"/>
              </w:rPr>
              <w:t>证券市场业务培训班</w:t>
            </w:r>
          </w:p>
        </w:tc>
        <w:tc>
          <w:tcPr>
            <w:tcW w:w="5245" w:type="dxa"/>
            <w:tcBorders>
              <w:top w:val="single" w:color="auto" w:sz="4" w:space="0"/>
              <w:left w:val="nil"/>
              <w:bottom w:val="single" w:color="auto" w:sz="4" w:space="0"/>
              <w:right w:val="single" w:color="auto" w:sz="4" w:space="0"/>
            </w:tcBorders>
            <w:vAlign w:val="center"/>
          </w:tcPr>
          <w:p>
            <w:pPr>
              <w:numPr>
                <w:ilvl w:val="0"/>
                <w:numId w:val="2"/>
              </w:numPr>
              <w:adjustRightInd w:val="0"/>
              <w:snapToGrid w:val="0"/>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证券业资产评估机构自身建设</w:t>
            </w:r>
          </w:p>
          <w:p>
            <w:pPr>
              <w:numPr>
                <w:ilvl w:val="0"/>
                <w:numId w:val="2"/>
              </w:numPr>
              <w:adjustRightInd w:val="0"/>
              <w:snapToGrid w:val="0"/>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上市公司并购重组相关制度及法律规范</w:t>
            </w:r>
          </w:p>
          <w:p>
            <w:pPr>
              <w:numPr>
                <w:ilvl w:val="0"/>
                <w:numId w:val="2"/>
              </w:numPr>
              <w:adjustRightInd w:val="0"/>
              <w:snapToGrid w:val="0"/>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证券业资产评估实务讲解</w:t>
            </w:r>
          </w:p>
          <w:p>
            <w:pPr>
              <w:numPr>
                <w:ilvl w:val="0"/>
                <w:numId w:val="2"/>
              </w:numPr>
              <w:adjustRightInd w:val="0"/>
              <w:snapToGrid w:val="0"/>
              <w:rPr>
                <w:rFonts w:hint="eastAsia" w:ascii="宋体" w:hAnsi="宋体" w:eastAsia="宋体" w:cs="宋体"/>
                <w:kern w:val="2"/>
                <w:sz w:val="20"/>
                <w:szCs w:val="20"/>
                <w:lang w:val="en-US" w:eastAsia="zh-CN" w:bidi="ar-SA"/>
              </w:rPr>
            </w:pPr>
            <w:r>
              <w:rPr>
                <w:rFonts w:hint="eastAsia" w:ascii="宋体" w:hAnsi="宋体" w:eastAsia="宋体" w:cs="宋体"/>
                <w:sz w:val="20"/>
                <w:szCs w:val="20"/>
                <w:lang w:val="en-US" w:eastAsia="zh-CN"/>
              </w:rPr>
              <w:t>探讨当前我省资产评估机构开展业务过程中的热点难点问题</w:t>
            </w:r>
          </w:p>
        </w:tc>
        <w:tc>
          <w:tcPr>
            <w:tcW w:w="1605"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宋体" w:hAnsi="宋体" w:eastAsia="宋体" w:cs="宋体"/>
                <w:kern w:val="2"/>
                <w:sz w:val="20"/>
                <w:szCs w:val="20"/>
                <w:lang w:val="en-US" w:eastAsia="zh-CN" w:bidi="ar-SA"/>
              </w:rPr>
            </w:pPr>
            <w:r>
              <w:rPr>
                <w:rFonts w:hint="eastAsia" w:ascii="宋体" w:hAnsi="宋体" w:eastAsia="宋体" w:cs="宋体"/>
                <w:sz w:val="20"/>
                <w:szCs w:val="20"/>
                <w:lang w:val="en-US" w:eastAsia="zh-CN"/>
              </w:rPr>
              <w:t>证券业务评估资质机构有关评估人员</w:t>
            </w:r>
          </w:p>
        </w:tc>
        <w:tc>
          <w:tcPr>
            <w:tcW w:w="149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kern w:val="2"/>
                <w:sz w:val="20"/>
                <w:szCs w:val="20"/>
                <w:lang w:val="en-US" w:eastAsia="zh-CN" w:bidi="ar-SA"/>
              </w:rPr>
            </w:pPr>
            <w:r>
              <w:rPr>
                <w:rFonts w:hint="eastAsia" w:ascii="宋体" w:hAnsi="宋体" w:eastAsia="宋体" w:cs="宋体"/>
                <w:kern w:val="2"/>
                <w:sz w:val="20"/>
                <w:szCs w:val="20"/>
                <w:lang w:val="en-US" w:eastAsia="zh-CN" w:bidi="ar-SA"/>
              </w:rPr>
              <w:t>8月</w:t>
            </w:r>
          </w:p>
        </w:tc>
        <w:tc>
          <w:tcPr>
            <w:tcW w:w="11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sz w:val="20"/>
                <w:szCs w:val="20"/>
                <w:lang w:val="en-US" w:eastAsia="zh-CN"/>
              </w:rPr>
            </w:pPr>
          </w:p>
          <w:p>
            <w:pPr>
              <w:adjustRightInd w:val="0"/>
              <w:snapToGrid w:val="0"/>
              <w:jc w:val="center"/>
              <w:rPr>
                <w:rFonts w:hint="eastAsia" w:ascii="宋体" w:hAnsi="宋体" w:eastAsia="宋体" w:cs="宋体"/>
                <w:sz w:val="20"/>
                <w:szCs w:val="20"/>
                <w:lang w:val="en-US" w:eastAsia="zh-CN"/>
              </w:rPr>
            </w:pPr>
          </w:p>
          <w:p>
            <w:pPr>
              <w:adjustRightInd w:val="0"/>
              <w:snapToGrid w:val="0"/>
              <w:jc w:val="center"/>
              <w:rPr>
                <w:rFonts w:hint="eastAsia" w:ascii="宋体" w:hAnsi="宋体" w:eastAsia="宋体" w:cs="宋体"/>
                <w:kern w:val="2"/>
                <w:sz w:val="20"/>
                <w:szCs w:val="20"/>
                <w:lang w:val="en-US" w:eastAsia="zh-CN" w:bidi="ar-SA"/>
              </w:rPr>
            </w:pPr>
            <w:r>
              <w:rPr>
                <w:rFonts w:hint="eastAsia" w:ascii="宋体" w:hAnsi="宋体" w:eastAsia="宋体" w:cs="宋体"/>
                <w:sz w:val="20"/>
                <w:szCs w:val="20"/>
                <w:lang w:val="en-US" w:eastAsia="zh-CN"/>
              </w:rPr>
              <w:t>武汉</w:t>
            </w:r>
          </w:p>
        </w:tc>
        <w:tc>
          <w:tcPr>
            <w:tcW w:w="11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sz w:val="20"/>
                <w:szCs w:val="20"/>
                <w:lang w:val="en-US" w:eastAsia="zh-CN"/>
              </w:rPr>
            </w:pPr>
          </w:p>
          <w:p>
            <w:pPr>
              <w:adjustRightInd w:val="0"/>
              <w:snapToGrid w:val="0"/>
              <w:jc w:val="center"/>
              <w:rPr>
                <w:rFonts w:hint="eastAsia" w:ascii="宋体" w:hAnsi="宋体" w:eastAsia="宋体" w:cs="宋体"/>
                <w:sz w:val="20"/>
                <w:szCs w:val="20"/>
                <w:lang w:val="en-US" w:eastAsia="zh-CN"/>
              </w:rPr>
            </w:pPr>
          </w:p>
          <w:p>
            <w:pPr>
              <w:adjustRightInd w:val="0"/>
              <w:snapToGrid w:val="0"/>
              <w:jc w:val="center"/>
              <w:rPr>
                <w:rFonts w:hint="eastAsia" w:ascii="宋体" w:hAnsi="宋体" w:eastAsia="宋体" w:cs="宋体"/>
                <w:kern w:val="2"/>
                <w:sz w:val="20"/>
                <w:szCs w:val="20"/>
                <w:lang w:val="en-US" w:eastAsia="zh-CN" w:bidi="ar-SA"/>
              </w:rPr>
            </w:pPr>
            <w:r>
              <w:rPr>
                <w:rFonts w:hint="eastAsia" w:ascii="宋体" w:hAnsi="宋体" w:eastAsia="宋体" w:cs="宋体"/>
                <w:sz w:val="20"/>
                <w:szCs w:val="20"/>
                <w:lang w:val="en-US" w:eastAsia="zh-CN"/>
              </w:rPr>
              <w:t>省评协</w:t>
            </w:r>
          </w:p>
        </w:tc>
      </w:tr>
      <w:tr>
        <w:tblPrEx>
          <w:tblCellMar>
            <w:top w:w="0" w:type="dxa"/>
            <w:left w:w="0" w:type="dxa"/>
            <w:bottom w:w="0" w:type="dxa"/>
            <w:right w:w="0" w:type="dxa"/>
          </w:tblCellMar>
        </w:tblPrEx>
        <w:trPr>
          <w:trHeight w:val="1519" w:hRule="atLeast"/>
        </w:trPr>
        <w:tc>
          <w:tcPr>
            <w:tcW w:w="96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5</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kern w:val="2"/>
                <w:sz w:val="20"/>
                <w:szCs w:val="20"/>
                <w:lang w:val="en-US" w:eastAsia="zh-CN" w:bidi="ar-SA"/>
              </w:rPr>
            </w:pPr>
            <w:r>
              <w:rPr>
                <w:rFonts w:hint="eastAsia" w:ascii="宋体" w:hAnsi="宋体" w:eastAsia="宋体" w:cs="宋体"/>
                <w:sz w:val="20"/>
                <w:szCs w:val="20"/>
                <w:lang w:val="en-US" w:eastAsia="zh-CN"/>
              </w:rPr>
              <w:t>新业务研讨（多期）</w:t>
            </w:r>
          </w:p>
        </w:tc>
        <w:tc>
          <w:tcPr>
            <w:tcW w:w="5245" w:type="dxa"/>
            <w:tcBorders>
              <w:top w:val="single" w:color="auto" w:sz="4" w:space="0"/>
              <w:left w:val="nil"/>
              <w:bottom w:val="single" w:color="auto" w:sz="4" w:space="0"/>
              <w:right w:val="single" w:color="auto" w:sz="4" w:space="0"/>
            </w:tcBorders>
            <w:vAlign w:val="center"/>
          </w:tcPr>
          <w:p>
            <w:pPr>
              <w:numPr>
                <w:ilvl w:val="0"/>
                <w:numId w:val="3"/>
              </w:numPr>
              <w:adjustRightInd w:val="0"/>
              <w:snapToGrid w:val="0"/>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资产评估助力乡村振兴</w:t>
            </w:r>
          </w:p>
          <w:p>
            <w:pPr>
              <w:numPr>
                <w:ilvl w:val="0"/>
                <w:numId w:val="3"/>
              </w:numPr>
              <w:adjustRightInd w:val="0"/>
              <w:snapToGrid w:val="0"/>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知识产权评估</w:t>
            </w:r>
          </w:p>
          <w:p>
            <w:pPr>
              <w:numPr>
                <w:ilvl w:val="0"/>
                <w:numId w:val="3"/>
              </w:numPr>
              <w:adjustRightInd w:val="0"/>
              <w:snapToGrid w:val="0"/>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资产评估助力“双碳”实现</w:t>
            </w:r>
          </w:p>
          <w:p>
            <w:pPr>
              <w:numPr>
                <w:ilvl w:val="0"/>
                <w:numId w:val="3"/>
              </w:numPr>
              <w:adjustRightInd w:val="0"/>
              <w:snapToGrid w:val="0"/>
              <w:rPr>
                <w:rFonts w:hint="eastAsia" w:ascii="宋体" w:hAnsi="宋体" w:eastAsia="宋体" w:cs="宋体"/>
                <w:kern w:val="2"/>
                <w:sz w:val="20"/>
                <w:szCs w:val="20"/>
                <w:lang w:val="en-US" w:eastAsia="zh-CN" w:bidi="ar-SA"/>
              </w:rPr>
            </w:pPr>
            <w:r>
              <w:rPr>
                <w:rFonts w:hint="eastAsia" w:ascii="宋体" w:hAnsi="宋体" w:eastAsia="宋体" w:cs="宋体"/>
                <w:kern w:val="2"/>
                <w:sz w:val="20"/>
                <w:szCs w:val="20"/>
                <w:lang w:val="en-US" w:eastAsia="zh-CN" w:bidi="ar-SA"/>
              </w:rPr>
              <w:t>PPP项目评估等</w:t>
            </w:r>
          </w:p>
          <w:p>
            <w:pPr>
              <w:numPr>
                <w:ilvl w:val="0"/>
                <w:numId w:val="3"/>
              </w:numPr>
              <w:adjustRightInd w:val="0"/>
              <w:snapToGrid w:val="0"/>
              <w:rPr>
                <w:rFonts w:hint="eastAsia" w:ascii="宋体" w:hAnsi="宋体" w:eastAsia="宋体" w:cs="宋体"/>
                <w:kern w:val="2"/>
                <w:sz w:val="20"/>
                <w:szCs w:val="20"/>
                <w:lang w:val="en-US" w:eastAsia="zh-CN" w:bidi="ar-SA"/>
              </w:rPr>
            </w:pPr>
            <w:r>
              <w:rPr>
                <w:rFonts w:hint="eastAsia" w:ascii="宋体" w:hAnsi="宋体" w:eastAsia="宋体" w:cs="宋体"/>
                <w:kern w:val="2"/>
                <w:sz w:val="20"/>
                <w:szCs w:val="20"/>
                <w:lang w:val="en-US" w:eastAsia="zh-CN" w:bidi="ar-SA"/>
              </w:rPr>
              <w:t>Reits项目培训</w:t>
            </w:r>
          </w:p>
        </w:tc>
        <w:tc>
          <w:tcPr>
            <w:tcW w:w="1605"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宋体" w:hAnsi="宋体" w:eastAsia="宋体" w:cs="宋体"/>
                <w:kern w:val="2"/>
                <w:sz w:val="20"/>
                <w:szCs w:val="20"/>
                <w:lang w:val="en-US" w:eastAsia="zh-CN" w:bidi="ar-SA"/>
              </w:rPr>
            </w:pPr>
            <w:r>
              <w:rPr>
                <w:rFonts w:hint="eastAsia" w:ascii="宋体" w:hAnsi="宋体" w:eastAsia="宋体" w:cs="宋体"/>
                <w:kern w:val="2"/>
                <w:sz w:val="20"/>
                <w:szCs w:val="20"/>
                <w:lang w:val="en-US" w:eastAsia="zh-CN" w:bidi="ar-SA"/>
              </w:rPr>
              <w:t>资产评估师</w:t>
            </w:r>
          </w:p>
        </w:tc>
        <w:tc>
          <w:tcPr>
            <w:tcW w:w="149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kern w:val="2"/>
                <w:sz w:val="20"/>
                <w:szCs w:val="20"/>
                <w:lang w:val="en-US" w:eastAsia="zh-CN" w:bidi="ar-SA"/>
              </w:rPr>
            </w:pPr>
            <w:r>
              <w:rPr>
                <w:rFonts w:hint="eastAsia" w:ascii="宋体" w:hAnsi="宋体" w:eastAsia="宋体" w:cs="宋体"/>
                <w:kern w:val="2"/>
                <w:sz w:val="20"/>
                <w:szCs w:val="20"/>
                <w:lang w:val="en-US" w:eastAsia="zh-CN" w:bidi="ar-SA"/>
              </w:rPr>
              <w:t>各月</w:t>
            </w:r>
          </w:p>
        </w:tc>
        <w:tc>
          <w:tcPr>
            <w:tcW w:w="11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kern w:val="2"/>
                <w:sz w:val="20"/>
                <w:szCs w:val="20"/>
                <w:lang w:val="en-US" w:eastAsia="zh-CN" w:bidi="ar-SA"/>
              </w:rPr>
            </w:pPr>
            <w:r>
              <w:rPr>
                <w:rFonts w:hint="eastAsia" w:ascii="宋体" w:hAnsi="宋体" w:eastAsia="宋体" w:cs="宋体"/>
                <w:sz w:val="20"/>
                <w:szCs w:val="20"/>
                <w:lang w:val="en-US" w:eastAsia="zh-CN"/>
              </w:rPr>
              <w:t>武汉</w:t>
            </w:r>
          </w:p>
        </w:tc>
        <w:tc>
          <w:tcPr>
            <w:tcW w:w="11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both"/>
              <w:rPr>
                <w:rFonts w:hint="eastAsia" w:ascii="宋体" w:hAnsi="宋体" w:eastAsia="宋体" w:cs="宋体"/>
                <w:sz w:val="20"/>
                <w:szCs w:val="20"/>
                <w:lang w:val="en-US" w:eastAsia="zh-CN"/>
              </w:rPr>
            </w:pPr>
          </w:p>
          <w:p>
            <w:pPr>
              <w:adjustRightInd w:val="0"/>
              <w:snapToGrid w:val="0"/>
              <w:jc w:val="center"/>
              <w:rPr>
                <w:rFonts w:hint="eastAsia" w:ascii="宋体" w:hAnsi="宋体" w:eastAsia="宋体" w:cs="宋体"/>
                <w:kern w:val="2"/>
                <w:sz w:val="20"/>
                <w:szCs w:val="20"/>
                <w:lang w:val="en-US" w:eastAsia="zh-CN" w:bidi="ar-SA"/>
              </w:rPr>
            </w:pPr>
            <w:r>
              <w:rPr>
                <w:rFonts w:hint="eastAsia" w:ascii="宋体" w:hAnsi="宋体" w:eastAsia="宋体" w:cs="宋体"/>
                <w:sz w:val="20"/>
                <w:szCs w:val="20"/>
                <w:lang w:val="en-US" w:eastAsia="zh-CN"/>
              </w:rPr>
              <w:t>省评协</w:t>
            </w:r>
          </w:p>
        </w:tc>
      </w:tr>
      <w:tr>
        <w:trPr>
          <w:trHeight w:val="1865" w:hRule="atLeast"/>
        </w:trPr>
        <w:tc>
          <w:tcPr>
            <w:tcW w:w="96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sz w:val="20"/>
                <w:szCs w:val="20"/>
                <w:lang w:eastAsia="zh-CN"/>
              </w:rPr>
            </w:pPr>
            <w:r>
              <w:rPr>
                <w:rFonts w:hint="eastAsia" w:ascii="宋体" w:hAnsi="宋体" w:eastAsia="宋体" w:cs="宋体"/>
                <w:sz w:val="20"/>
                <w:szCs w:val="20"/>
                <w:lang w:val="en-US" w:eastAsia="zh-CN"/>
              </w:rPr>
              <w:t>6</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sz w:val="20"/>
                <w:szCs w:val="20"/>
              </w:rPr>
            </w:pPr>
            <w:r>
              <w:rPr>
                <w:rFonts w:hint="eastAsia" w:ascii="宋体" w:hAnsi="宋体" w:eastAsia="宋体" w:cs="宋体"/>
                <w:sz w:val="20"/>
                <w:szCs w:val="20"/>
              </w:rPr>
              <w:t>机构负责人</w:t>
            </w:r>
          </w:p>
          <w:p>
            <w:pPr>
              <w:adjustRightInd w:val="0"/>
              <w:snapToGrid w:val="0"/>
              <w:jc w:val="center"/>
              <w:rPr>
                <w:rFonts w:hint="eastAsia" w:ascii="宋体" w:hAnsi="宋体" w:eastAsia="宋体" w:cs="宋体"/>
                <w:kern w:val="2"/>
                <w:sz w:val="20"/>
                <w:szCs w:val="20"/>
                <w:lang w:val="en-US" w:eastAsia="zh-CN" w:bidi="ar-SA"/>
              </w:rPr>
            </w:pPr>
            <w:r>
              <w:rPr>
                <w:rFonts w:hint="eastAsia" w:ascii="宋体" w:hAnsi="宋体" w:eastAsia="宋体" w:cs="宋体"/>
                <w:sz w:val="20"/>
                <w:szCs w:val="20"/>
              </w:rPr>
              <w:t>研讨班</w:t>
            </w:r>
          </w:p>
        </w:tc>
        <w:tc>
          <w:tcPr>
            <w:tcW w:w="5245" w:type="dxa"/>
            <w:tcBorders>
              <w:top w:val="single" w:color="auto" w:sz="4" w:space="0"/>
              <w:left w:val="nil"/>
              <w:bottom w:val="single" w:color="auto" w:sz="4" w:space="0"/>
              <w:right w:val="single" w:color="auto" w:sz="4" w:space="0"/>
            </w:tcBorders>
            <w:vAlign w:val="center"/>
          </w:tcPr>
          <w:p>
            <w:pPr>
              <w:adjustRightInd w:val="0"/>
              <w:snapToGrid w:val="0"/>
              <w:rPr>
                <w:rFonts w:hint="eastAsia" w:ascii="宋体" w:hAnsi="宋体" w:eastAsia="宋体" w:cs="宋体"/>
                <w:sz w:val="20"/>
                <w:szCs w:val="20"/>
                <w:lang w:val="en-US" w:eastAsia="zh-CN"/>
              </w:rPr>
            </w:pPr>
            <w:r>
              <w:rPr>
                <w:rFonts w:hint="eastAsia" w:ascii="宋体" w:hAnsi="宋体" w:eastAsia="宋体" w:cs="宋体"/>
                <w:sz w:val="20"/>
                <w:szCs w:val="20"/>
              </w:rPr>
              <w:t>1.</w:t>
            </w:r>
            <w:r>
              <w:rPr>
                <w:rFonts w:hint="eastAsia" w:ascii="宋体" w:hAnsi="宋体" w:eastAsia="宋体" w:cs="宋体"/>
                <w:sz w:val="20"/>
                <w:szCs w:val="20"/>
                <w:lang w:val="en-US" w:eastAsia="zh-CN"/>
              </w:rPr>
              <w:t>二十大精神学习</w:t>
            </w:r>
          </w:p>
          <w:p>
            <w:pPr>
              <w:adjustRightInd w:val="0"/>
              <w:snapToGrid w:val="0"/>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2</w:t>
            </w:r>
            <w:r>
              <w:rPr>
                <w:rFonts w:hint="eastAsia" w:ascii="宋体" w:hAnsi="宋体" w:eastAsia="宋体" w:cs="宋体"/>
                <w:sz w:val="20"/>
                <w:szCs w:val="20"/>
              </w:rPr>
              <w:t>.</w:t>
            </w:r>
            <w:r>
              <w:rPr>
                <w:rFonts w:hint="eastAsia" w:ascii="宋体" w:hAnsi="宋体" w:eastAsia="宋体" w:cs="宋体"/>
                <w:sz w:val="20"/>
                <w:szCs w:val="20"/>
                <w:lang w:val="en-US" w:eastAsia="zh-CN"/>
              </w:rPr>
              <w:t>部分重点项目风险提示</w:t>
            </w:r>
          </w:p>
          <w:p>
            <w:pPr>
              <w:adjustRightInd w:val="0"/>
              <w:snapToGrid w:val="0"/>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3.宏观经济形势分析</w:t>
            </w:r>
          </w:p>
          <w:p>
            <w:pPr>
              <w:adjustRightInd w:val="0"/>
              <w:snapToGrid w:val="0"/>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4.行业重大问题研讨交流</w:t>
            </w:r>
          </w:p>
        </w:tc>
        <w:tc>
          <w:tcPr>
            <w:tcW w:w="1605"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宋体" w:hAnsi="宋体" w:eastAsia="宋体" w:cs="宋体"/>
                <w:kern w:val="2"/>
                <w:sz w:val="20"/>
                <w:szCs w:val="20"/>
                <w:lang w:val="en-US" w:eastAsia="zh-CN" w:bidi="ar-SA"/>
              </w:rPr>
            </w:pPr>
            <w:r>
              <w:rPr>
                <w:rFonts w:hint="eastAsia" w:ascii="宋体" w:hAnsi="宋体" w:eastAsia="宋体" w:cs="宋体"/>
                <w:sz w:val="20"/>
                <w:szCs w:val="20"/>
                <w:lang w:val="en-US" w:eastAsia="zh-CN"/>
              </w:rPr>
              <w:t>机构负责人</w:t>
            </w:r>
          </w:p>
        </w:tc>
        <w:tc>
          <w:tcPr>
            <w:tcW w:w="149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kern w:val="2"/>
                <w:sz w:val="20"/>
                <w:szCs w:val="20"/>
                <w:lang w:val="en-US" w:eastAsia="zh-CN" w:bidi="ar-SA"/>
              </w:rPr>
            </w:pPr>
            <w:r>
              <w:rPr>
                <w:rFonts w:hint="eastAsia" w:ascii="宋体" w:hAnsi="宋体" w:eastAsia="宋体" w:cs="宋体"/>
                <w:kern w:val="2"/>
                <w:sz w:val="20"/>
                <w:szCs w:val="20"/>
                <w:lang w:val="en-US" w:eastAsia="zh-CN" w:bidi="ar-SA"/>
              </w:rPr>
              <w:t>10月</w:t>
            </w:r>
          </w:p>
        </w:tc>
        <w:tc>
          <w:tcPr>
            <w:tcW w:w="11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kern w:val="2"/>
                <w:sz w:val="20"/>
                <w:szCs w:val="20"/>
                <w:lang w:val="en-US" w:eastAsia="zh-CN" w:bidi="ar-SA"/>
              </w:rPr>
            </w:pPr>
            <w:r>
              <w:rPr>
                <w:rFonts w:hint="eastAsia" w:ascii="宋体" w:hAnsi="宋体" w:eastAsia="宋体" w:cs="宋体"/>
                <w:sz w:val="20"/>
                <w:szCs w:val="20"/>
                <w:lang w:val="en-US" w:eastAsia="zh-CN"/>
              </w:rPr>
              <w:t>待定</w:t>
            </w:r>
          </w:p>
        </w:tc>
        <w:tc>
          <w:tcPr>
            <w:tcW w:w="11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both"/>
              <w:rPr>
                <w:rFonts w:hint="eastAsia" w:ascii="宋体" w:hAnsi="宋体" w:eastAsia="宋体" w:cs="宋体"/>
                <w:sz w:val="20"/>
                <w:szCs w:val="20"/>
              </w:rPr>
            </w:pPr>
          </w:p>
          <w:p>
            <w:pPr>
              <w:adjustRightInd w:val="0"/>
              <w:snapToGrid w:val="0"/>
              <w:jc w:val="center"/>
              <w:rPr>
                <w:rFonts w:hint="eastAsia" w:ascii="宋体" w:hAnsi="宋体" w:eastAsia="宋体" w:cs="宋体"/>
                <w:kern w:val="2"/>
                <w:sz w:val="20"/>
                <w:szCs w:val="20"/>
                <w:lang w:val="en-US" w:eastAsia="zh-CN" w:bidi="ar-SA"/>
              </w:rPr>
            </w:pPr>
            <w:r>
              <w:rPr>
                <w:rFonts w:hint="eastAsia" w:ascii="宋体" w:hAnsi="宋体" w:eastAsia="宋体" w:cs="宋体"/>
                <w:sz w:val="20"/>
                <w:szCs w:val="20"/>
              </w:rPr>
              <w:t>省评协</w:t>
            </w:r>
          </w:p>
        </w:tc>
      </w:tr>
      <w:tr>
        <w:tblPrEx>
          <w:tblCellMar>
            <w:top w:w="0" w:type="dxa"/>
            <w:left w:w="0" w:type="dxa"/>
            <w:bottom w:w="0" w:type="dxa"/>
            <w:right w:w="0" w:type="dxa"/>
          </w:tblCellMar>
        </w:tblPrEx>
        <w:trPr>
          <w:trHeight w:val="2393" w:hRule="atLeast"/>
        </w:trPr>
        <w:tc>
          <w:tcPr>
            <w:tcW w:w="96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7</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kern w:val="2"/>
                <w:sz w:val="20"/>
                <w:szCs w:val="20"/>
                <w:lang w:val="en-US" w:eastAsia="zh-CN" w:bidi="ar-SA"/>
              </w:rPr>
            </w:pPr>
            <w:r>
              <w:rPr>
                <w:rFonts w:hint="eastAsia" w:ascii="宋体" w:hAnsi="宋体" w:eastAsia="宋体" w:cs="宋体"/>
                <w:kern w:val="2"/>
                <w:sz w:val="20"/>
                <w:szCs w:val="20"/>
                <w:lang w:val="en-US" w:eastAsia="zh-CN" w:bidi="ar-SA"/>
              </w:rPr>
              <w:t>首席评估师培训</w:t>
            </w:r>
          </w:p>
        </w:tc>
        <w:tc>
          <w:tcPr>
            <w:tcW w:w="5245" w:type="dxa"/>
            <w:tcBorders>
              <w:top w:val="single" w:color="auto" w:sz="4" w:space="0"/>
              <w:left w:val="nil"/>
              <w:bottom w:val="single" w:color="auto" w:sz="4" w:space="0"/>
              <w:right w:val="single" w:color="auto" w:sz="4" w:space="0"/>
            </w:tcBorders>
            <w:vAlign w:val="center"/>
          </w:tcPr>
          <w:p>
            <w:pPr>
              <w:adjustRightInd w:val="0"/>
              <w:snapToGrid w:val="0"/>
              <w:spacing w:line="240" w:lineRule="exact"/>
              <w:rPr>
                <w:rFonts w:hint="eastAsia" w:ascii="宋体" w:hAnsi="宋体" w:eastAsia="宋体" w:cs="宋体"/>
                <w:sz w:val="20"/>
                <w:szCs w:val="20"/>
              </w:rPr>
            </w:pPr>
            <w:r>
              <w:rPr>
                <w:rFonts w:hint="eastAsia" w:ascii="宋体" w:hAnsi="宋体" w:eastAsia="宋体" w:cs="宋体"/>
                <w:sz w:val="20"/>
                <w:szCs w:val="20"/>
              </w:rPr>
              <w:t>1.财政监督管理检查重点要点</w:t>
            </w:r>
          </w:p>
          <w:p>
            <w:pPr>
              <w:adjustRightInd w:val="0"/>
              <w:snapToGrid w:val="0"/>
              <w:spacing w:line="240" w:lineRule="exact"/>
              <w:rPr>
                <w:rFonts w:hint="eastAsia" w:ascii="宋体" w:hAnsi="宋体" w:eastAsia="宋体" w:cs="宋体"/>
                <w:sz w:val="20"/>
                <w:szCs w:val="20"/>
              </w:rPr>
            </w:pPr>
            <w:r>
              <w:rPr>
                <w:rFonts w:hint="eastAsia" w:ascii="宋体" w:hAnsi="宋体" w:eastAsia="宋体" w:cs="宋体"/>
                <w:sz w:val="20"/>
                <w:szCs w:val="20"/>
              </w:rPr>
              <w:t>2.国有资产评估业务需求新动向</w:t>
            </w:r>
          </w:p>
          <w:p>
            <w:pPr>
              <w:adjustRightInd w:val="0"/>
              <w:snapToGrid w:val="0"/>
              <w:spacing w:line="240" w:lineRule="exact"/>
              <w:rPr>
                <w:rFonts w:hint="eastAsia" w:ascii="宋体" w:hAnsi="宋体" w:eastAsia="宋体" w:cs="宋体"/>
                <w:sz w:val="20"/>
                <w:szCs w:val="20"/>
              </w:rPr>
            </w:pPr>
            <w:r>
              <w:rPr>
                <w:rFonts w:hint="eastAsia" w:ascii="宋体" w:hAnsi="宋体" w:eastAsia="宋体" w:cs="宋体"/>
                <w:sz w:val="20"/>
                <w:szCs w:val="20"/>
              </w:rPr>
              <w:t>3.评估机构处罚案例解读</w:t>
            </w:r>
          </w:p>
          <w:p>
            <w:pPr>
              <w:adjustRightInd w:val="0"/>
              <w:snapToGrid w:val="0"/>
              <w:spacing w:line="240" w:lineRule="exact"/>
              <w:rPr>
                <w:rFonts w:hint="eastAsia" w:ascii="宋体" w:hAnsi="宋体" w:eastAsia="宋体" w:cs="宋体"/>
                <w:sz w:val="20"/>
                <w:szCs w:val="20"/>
              </w:rPr>
            </w:pPr>
            <w:r>
              <w:rPr>
                <w:rFonts w:hint="eastAsia" w:ascii="宋体" w:hAnsi="宋体" w:eastAsia="宋体" w:cs="宋体"/>
                <w:sz w:val="20"/>
                <w:szCs w:val="20"/>
              </w:rPr>
              <w:t>4.资产评估机构内部治理体系与职业道德文化建设</w:t>
            </w:r>
          </w:p>
          <w:p>
            <w:pPr>
              <w:adjustRightInd w:val="0"/>
              <w:snapToGrid w:val="0"/>
              <w:rPr>
                <w:rFonts w:hint="eastAsia" w:ascii="宋体" w:hAnsi="宋体" w:eastAsia="宋体" w:cs="宋体"/>
                <w:kern w:val="2"/>
                <w:sz w:val="20"/>
                <w:szCs w:val="20"/>
                <w:lang w:val="en-US" w:eastAsia="zh-CN" w:bidi="ar-SA"/>
              </w:rPr>
            </w:pPr>
            <w:r>
              <w:rPr>
                <w:rFonts w:hint="eastAsia" w:ascii="宋体" w:hAnsi="宋体" w:eastAsia="宋体" w:cs="宋体"/>
                <w:sz w:val="20"/>
                <w:szCs w:val="20"/>
              </w:rPr>
              <w:t>5.评估机构法律责任与风险防范</w:t>
            </w:r>
          </w:p>
        </w:tc>
        <w:tc>
          <w:tcPr>
            <w:tcW w:w="1605"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宋体" w:hAnsi="宋体" w:eastAsia="宋体" w:cs="宋体"/>
                <w:kern w:val="2"/>
                <w:sz w:val="20"/>
                <w:szCs w:val="20"/>
                <w:lang w:val="en-US" w:eastAsia="zh-CN" w:bidi="ar-SA"/>
              </w:rPr>
            </w:pPr>
            <w:r>
              <w:rPr>
                <w:rFonts w:hint="eastAsia" w:ascii="宋体" w:hAnsi="宋体" w:eastAsia="宋体" w:cs="宋体"/>
                <w:kern w:val="2"/>
                <w:sz w:val="20"/>
                <w:szCs w:val="20"/>
                <w:lang w:val="en-US" w:eastAsia="zh-CN" w:bidi="ar-SA"/>
              </w:rPr>
              <w:t>首席评估师</w:t>
            </w:r>
          </w:p>
        </w:tc>
        <w:tc>
          <w:tcPr>
            <w:tcW w:w="149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kern w:val="2"/>
                <w:sz w:val="20"/>
                <w:szCs w:val="20"/>
                <w:lang w:val="en-US" w:eastAsia="zh-CN" w:bidi="ar-SA"/>
              </w:rPr>
            </w:pPr>
            <w:r>
              <w:rPr>
                <w:rFonts w:hint="eastAsia" w:ascii="宋体" w:hAnsi="宋体" w:eastAsia="宋体" w:cs="宋体"/>
                <w:kern w:val="2"/>
                <w:sz w:val="20"/>
                <w:szCs w:val="20"/>
                <w:lang w:val="en-US" w:eastAsia="zh-CN" w:bidi="ar-SA"/>
              </w:rPr>
              <w:t>7月</w:t>
            </w:r>
          </w:p>
        </w:tc>
        <w:tc>
          <w:tcPr>
            <w:tcW w:w="11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kern w:val="2"/>
                <w:sz w:val="20"/>
                <w:szCs w:val="20"/>
                <w:lang w:val="en-US" w:eastAsia="zh-CN" w:bidi="ar-SA"/>
              </w:rPr>
            </w:pPr>
            <w:r>
              <w:rPr>
                <w:rFonts w:hint="eastAsia" w:ascii="宋体" w:hAnsi="宋体" w:eastAsia="宋体" w:cs="宋体"/>
                <w:kern w:val="2"/>
                <w:sz w:val="20"/>
                <w:szCs w:val="20"/>
                <w:lang w:val="en-US" w:eastAsia="zh-CN" w:bidi="ar-SA"/>
              </w:rPr>
              <w:t>武汉</w:t>
            </w:r>
          </w:p>
        </w:tc>
        <w:tc>
          <w:tcPr>
            <w:tcW w:w="1120" w:type="dxa"/>
            <w:tcBorders>
              <w:top w:val="single" w:color="auto" w:sz="4" w:space="0"/>
              <w:left w:val="single" w:color="auto" w:sz="4" w:space="0"/>
              <w:bottom w:val="single" w:color="auto" w:sz="4" w:space="0"/>
              <w:right w:val="single" w:color="auto" w:sz="4" w:space="0"/>
            </w:tcBorders>
            <w:vAlign w:val="center"/>
          </w:tcPr>
          <w:p>
            <w:pPr>
              <w:adjustRightInd w:val="0"/>
              <w:snapToGrid w:val="0"/>
              <w:ind w:firstLine="200" w:firstLineChars="100"/>
              <w:jc w:val="center"/>
              <w:rPr>
                <w:rFonts w:hint="eastAsia" w:ascii="宋体" w:hAnsi="宋体" w:eastAsia="宋体" w:cs="宋体"/>
                <w:kern w:val="2"/>
                <w:sz w:val="20"/>
                <w:szCs w:val="20"/>
                <w:lang w:val="en-US" w:eastAsia="zh-CN" w:bidi="ar-SA"/>
              </w:rPr>
            </w:pPr>
            <w:r>
              <w:rPr>
                <w:rFonts w:hint="eastAsia" w:ascii="宋体" w:hAnsi="宋体" w:eastAsia="宋体" w:cs="宋体"/>
                <w:sz w:val="20"/>
                <w:szCs w:val="20"/>
                <w:lang w:val="en-US" w:eastAsia="zh-CN"/>
              </w:rPr>
              <w:t>省评协</w:t>
            </w:r>
          </w:p>
        </w:tc>
      </w:tr>
      <w:tr>
        <w:tblPrEx>
          <w:tblCellMar>
            <w:top w:w="0" w:type="dxa"/>
            <w:left w:w="0" w:type="dxa"/>
            <w:bottom w:w="0" w:type="dxa"/>
            <w:right w:w="0" w:type="dxa"/>
          </w:tblCellMar>
        </w:tblPrEx>
        <w:trPr>
          <w:trHeight w:val="772" w:hRule="atLeast"/>
        </w:trPr>
        <w:tc>
          <w:tcPr>
            <w:tcW w:w="96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bCs/>
                <w:sz w:val="20"/>
                <w:szCs w:val="20"/>
              </w:rPr>
            </w:pPr>
            <w:r>
              <w:rPr>
                <w:rFonts w:hint="eastAsia" w:ascii="宋体" w:hAnsi="宋体" w:eastAsia="宋体" w:cs="宋体"/>
                <w:b/>
                <w:bCs/>
                <w:sz w:val="20"/>
                <w:szCs w:val="20"/>
              </w:rPr>
              <w:t>序号</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bCs/>
                <w:sz w:val="20"/>
                <w:szCs w:val="20"/>
              </w:rPr>
            </w:pPr>
            <w:r>
              <w:rPr>
                <w:rFonts w:hint="eastAsia" w:ascii="宋体" w:hAnsi="宋体" w:eastAsia="宋体" w:cs="宋体"/>
                <w:b/>
                <w:bCs/>
                <w:sz w:val="20"/>
                <w:szCs w:val="20"/>
              </w:rPr>
              <w:t>培训班名称</w:t>
            </w:r>
          </w:p>
        </w:tc>
        <w:tc>
          <w:tcPr>
            <w:tcW w:w="5245"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宋体" w:hAnsi="宋体" w:eastAsia="宋体" w:cs="宋体"/>
                <w:b/>
                <w:bCs/>
                <w:sz w:val="20"/>
                <w:szCs w:val="20"/>
              </w:rPr>
            </w:pPr>
            <w:r>
              <w:rPr>
                <w:rFonts w:hint="eastAsia" w:ascii="宋体" w:hAnsi="宋体" w:eastAsia="宋体" w:cs="宋体"/>
                <w:b/>
                <w:bCs/>
                <w:sz w:val="20"/>
                <w:szCs w:val="20"/>
              </w:rPr>
              <w:t>培训内容</w:t>
            </w:r>
          </w:p>
        </w:tc>
        <w:tc>
          <w:tcPr>
            <w:tcW w:w="1605"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宋体" w:hAnsi="宋体" w:eastAsia="宋体" w:cs="宋体"/>
                <w:b/>
                <w:bCs/>
                <w:sz w:val="20"/>
                <w:szCs w:val="20"/>
                <w:lang w:eastAsia="zh-CN"/>
              </w:rPr>
            </w:pPr>
            <w:r>
              <w:rPr>
                <w:rFonts w:hint="eastAsia" w:ascii="宋体" w:hAnsi="宋体" w:eastAsia="宋体" w:cs="宋体"/>
                <w:b/>
                <w:bCs/>
                <w:sz w:val="20"/>
                <w:szCs w:val="20"/>
              </w:rPr>
              <w:t>参加人员</w:t>
            </w:r>
          </w:p>
        </w:tc>
        <w:tc>
          <w:tcPr>
            <w:tcW w:w="149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bCs/>
                <w:sz w:val="20"/>
                <w:szCs w:val="20"/>
              </w:rPr>
            </w:pPr>
            <w:r>
              <w:rPr>
                <w:rFonts w:hint="eastAsia" w:ascii="宋体" w:hAnsi="宋体" w:eastAsia="宋体" w:cs="宋体"/>
                <w:b/>
                <w:bCs/>
                <w:sz w:val="20"/>
                <w:szCs w:val="20"/>
              </w:rPr>
              <w:t>时间</w:t>
            </w:r>
          </w:p>
        </w:tc>
        <w:tc>
          <w:tcPr>
            <w:tcW w:w="11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bCs/>
                <w:sz w:val="20"/>
                <w:szCs w:val="20"/>
              </w:rPr>
            </w:pPr>
            <w:r>
              <w:rPr>
                <w:rFonts w:hint="eastAsia" w:ascii="宋体" w:hAnsi="宋体" w:eastAsia="宋体" w:cs="宋体"/>
                <w:b/>
                <w:bCs/>
                <w:sz w:val="20"/>
                <w:szCs w:val="20"/>
              </w:rPr>
              <w:t>地  点</w:t>
            </w:r>
          </w:p>
        </w:tc>
        <w:tc>
          <w:tcPr>
            <w:tcW w:w="11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
                <w:bCs/>
                <w:sz w:val="20"/>
                <w:szCs w:val="20"/>
              </w:rPr>
            </w:pPr>
            <w:r>
              <w:rPr>
                <w:rFonts w:hint="eastAsia" w:ascii="宋体" w:hAnsi="宋体" w:eastAsia="宋体" w:cs="宋体"/>
                <w:b/>
                <w:bCs/>
                <w:sz w:val="20"/>
                <w:szCs w:val="20"/>
              </w:rPr>
              <w:t>举办</w:t>
            </w:r>
          </w:p>
          <w:p>
            <w:pPr>
              <w:adjustRightInd w:val="0"/>
              <w:snapToGrid w:val="0"/>
              <w:jc w:val="center"/>
              <w:rPr>
                <w:rFonts w:hint="eastAsia" w:ascii="宋体" w:hAnsi="宋体" w:eastAsia="宋体" w:cs="宋体"/>
                <w:b/>
                <w:bCs/>
                <w:sz w:val="20"/>
                <w:szCs w:val="20"/>
              </w:rPr>
            </w:pPr>
            <w:r>
              <w:rPr>
                <w:rFonts w:hint="eastAsia" w:ascii="宋体" w:hAnsi="宋体" w:eastAsia="宋体" w:cs="宋体"/>
                <w:b/>
                <w:bCs/>
                <w:sz w:val="20"/>
                <w:szCs w:val="20"/>
              </w:rPr>
              <w:t>单位</w:t>
            </w:r>
          </w:p>
        </w:tc>
      </w:tr>
      <w:tr>
        <w:tblPrEx>
          <w:tblCellMar>
            <w:top w:w="0" w:type="dxa"/>
            <w:left w:w="0" w:type="dxa"/>
            <w:bottom w:w="0" w:type="dxa"/>
            <w:right w:w="0" w:type="dxa"/>
          </w:tblCellMar>
        </w:tblPrEx>
        <w:trPr>
          <w:trHeight w:val="970" w:hRule="atLeast"/>
        </w:trPr>
        <w:tc>
          <w:tcPr>
            <w:tcW w:w="96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sz w:val="20"/>
                <w:szCs w:val="20"/>
                <w:lang w:eastAsia="zh-CN"/>
              </w:rPr>
            </w:pPr>
            <w:r>
              <w:rPr>
                <w:rFonts w:hint="eastAsia" w:ascii="宋体" w:hAnsi="宋体" w:eastAsia="宋体" w:cs="宋体"/>
                <w:sz w:val="20"/>
                <w:szCs w:val="20"/>
                <w:lang w:val="en-US" w:eastAsia="zh-CN"/>
              </w:rPr>
              <w:t>8</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kern w:val="2"/>
                <w:sz w:val="20"/>
                <w:szCs w:val="20"/>
                <w:lang w:val="en-US" w:eastAsia="zh-CN" w:bidi="ar-SA"/>
              </w:rPr>
            </w:pPr>
            <w:r>
              <w:rPr>
                <w:rFonts w:hint="eastAsia" w:ascii="宋体" w:hAnsi="宋体" w:eastAsia="宋体" w:cs="宋体"/>
                <w:sz w:val="20"/>
                <w:szCs w:val="20"/>
                <w:lang w:val="en-US" w:eastAsia="zh-CN"/>
              </w:rPr>
              <w:t>专项检查跟踪辅导</w:t>
            </w:r>
          </w:p>
        </w:tc>
        <w:tc>
          <w:tcPr>
            <w:tcW w:w="5245" w:type="dxa"/>
            <w:tcBorders>
              <w:top w:val="single" w:color="auto" w:sz="4" w:space="0"/>
              <w:left w:val="nil"/>
              <w:bottom w:val="single" w:color="auto" w:sz="4" w:space="0"/>
              <w:right w:val="single" w:color="auto" w:sz="4" w:space="0"/>
            </w:tcBorders>
            <w:vAlign w:val="center"/>
          </w:tcPr>
          <w:p>
            <w:pPr>
              <w:adjustRightInd w:val="0"/>
              <w:snapToGrid w:val="0"/>
              <w:rPr>
                <w:rFonts w:hint="eastAsia" w:ascii="宋体" w:hAnsi="宋体" w:eastAsia="宋体" w:cs="宋体"/>
                <w:kern w:val="2"/>
                <w:sz w:val="20"/>
                <w:szCs w:val="20"/>
                <w:lang w:val="en-US" w:eastAsia="zh-CN" w:bidi="ar-SA"/>
              </w:rPr>
            </w:pPr>
            <w:r>
              <w:rPr>
                <w:rFonts w:hint="eastAsia" w:ascii="宋体" w:hAnsi="宋体" w:eastAsia="宋体" w:cs="宋体"/>
                <w:sz w:val="20"/>
                <w:szCs w:val="20"/>
                <w:lang w:val="en-US" w:eastAsia="zh-CN"/>
              </w:rPr>
              <w:t>根据检查情况制定培训内容</w:t>
            </w:r>
          </w:p>
        </w:tc>
        <w:tc>
          <w:tcPr>
            <w:tcW w:w="1605"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宋体" w:hAnsi="宋体" w:eastAsia="宋体" w:cs="宋体"/>
                <w:kern w:val="2"/>
                <w:sz w:val="20"/>
                <w:szCs w:val="20"/>
                <w:lang w:val="en-US" w:eastAsia="zh-CN" w:bidi="ar-SA"/>
              </w:rPr>
            </w:pPr>
            <w:r>
              <w:rPr>
                <w:rFonts w:hint="eastAsia" w:ascii="宋体" w:hAnsi="宋体" w:eastAsia="宋体" w:cs="宋体"/>
                <w:sz w:val="20"/>
                <w:szCs w:val="20"/>
                <w:lang w:val="en-US" w:eastAsia="zh-CN"/>
              </w:rPr>
              <w:t>有关市州评估专业人员</w:t>
            </w:r>
          </w:p>
        </w:tc>
        <w:tc>
          <w:tcPr>
            <w:tcW w:w="149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kern w:val="2"/>
                <w:sz w:val="20"/>
                <w:szCs w:val="20"/>
                <w:lang w:val="en-US" w:eastAsia="zh-CN" w:bidi="ar-SA"/>
              </w:rPr>
            </w:pPr>
            <w:r>
              <w:rPr>
                <w:rFonts w:hint="eastAsia" w:ascii="宋体" w:hAnsi="宋体" w:eastAsia="宋体" w:cs="宋体"/>
                <w:kern w:val="2"/>
                <w:sz w:val="20"/>
                <w:szCs w:val="20"/>
                <w:lang w:val="en-US" w:eastAsia="zh-CN" w:bidi="ar-SA"/>
              </w:rPr>
              <w:t>待定</w:t>
            </w:r>
          </w:p>
        </w:tc>
        <w:tc>
          <w:tcPr>
            <w:tcW w:w="11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kern w:val="2"/>
                <w:sz w:val="20"/>
                <w:szCs w:val="20"/>
                <w:lang w:val="en-US" w:eastAsia="zh-CN" w:bidi="ar-SA"/>
              </w:rPr>
            </w:pPr>
            <w:r>
              <w:rPr>
                <w:rFonts w:hint="eastAsia" w:ascii="宋体" w:hAnsi="宋体" w:eastAsia="宋体" w:cs="宋体"/>
                <w:kern w:val="2"/>
                <w:sz w:val="20"/>
                <w:szCs w:val="20"/>
                <w:lang w:val="en-US" w:eastAsia="zh-CN" w:bidi="ar-SA"/>
              </w:rPr>
              <w:t>各地</w:t>
            </w:r>
          </w:p>
        </w:tc>
        <w:tc>
          <w:tcPr>
            <w:tcW w:w="11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both"/>
              <w:rPr>
                <w:rFonts w:hint="eastAsia" w:ascii="宋体" w:hAnsi="宋体" w:eastAsia="宋体" w:cs="宋体"/>
                <w:sz w:val="20"/>
                <w:szCs w:val="20"/>
              </w:rPr>
            </w:pPr>
          </w:p>
          <w:p>
            <w:pPr>
              <w:adjustRightInd w:val="0"/>
              <w:snapToGrid w:val="0"/>
              <w:ind w:firstLine="200" w:firstLineChars="100"/>
              <w:jc w:val="both"/>
              <w:rPr>
                <w:rFonts w:hint="eastAsia" w:ascii="宋体" w:hAnsi="宋体" w:eastAsia="宋体" w:cs="宋体"/>
                <w:kern w:val="2"/>
                <w:sz w:val="20"/>
                <w:szCs w:val="20"/>
                <w:lang w:val="en-US" w:eastAsia="zh-CN" w:bidi="ar-SA"/>
              </w:rPr>
            </w:pPr>
            <w:r>
              <w:rPr>
                <w:rFonts w:hint="eastAsia" w:ascii="宋体" w:hAnsi="宋体" w:eastAsia="宋体" w:cs="宋体"/>
                <w:sz w:val="20"/>
                <w:szCs w:val="20"/>
              </w:rPr>
              <w:t>省评协</w:t>
            </w:r>
          </w:p>
        </w:tc>
      </w:tr>
      <w:tr>
        <w:tblPrEx>
          <w:tblCellMar>
            <w:top w:w="0" w:type="dxa"/>
            <w:left w:w="0" w:type="dxa"/>
            <w:bottom w:w="0" w:type="dxa"/>
            <w:right w:w="0" w:type="dxa"/>
          </w:tblCellMar>
        </w:tblPrEx>
        <w:trPr>
          <w:trHeight w:val="938" w:hRule="atLeast"/>
        </w:trPr>
        <w:tc>
          <w:tcPr>
            <w:tcW w:w="96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sz w:val="20"/>
                <w:szCs w:val="20"/>
                <w:lang w:eastAsia="zh-CN"/>
              </w:rPr>
            </w:pPr>
            <w:r>
              <w:rPr>
                <w:rFonts w:hint="eastAsia" w:ascii="宋体" w:hAnsi="宋体" w:eastAsia="宋体" w:cs="宋体"/>
                <w:sz w:val="20"/>
                <w:szCs w:val="20"/>
                <w:lang w:val="en-US" w:eastAsia="zh-CN"/>
              </w:rPr>
              <w:t>9</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重难点问题专题培训</w:t>
            </w:r>
          </w:p>
        </w:tc>
        <w:tc>
          <w:tcPr>
            <w:tcW w:w="5245" w:type="dxa"/>
            <w:tcBorders>
              <w:top w:val="single" w:color="auto" w:sz="4" w:space="0"/>
              <w:left w:val="nil"/>
              <w:bottom w:val="single" w:color="auto" w:sz="4" w:space="0"/>
              <w:right w:val="single" w:color="auto" w:sz="4" w:space="0"/>
            </w:tcBorders>
            <w:vAlign w:val="center"/>
          </w:tcPr>
          <w:p>
            <w:pPr>
              <w:numPr>
                <w:ilvl w:val="0"/>
                <w:numId w:val="0"/>
              </w:numPr>
              <w:adjustRightInd w:val="0"/>
              <w:snapToGrid w:val="0"/>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根据日常收集的问题不定期开展培训</w:t>
            </w:r>
          </w:p>
        </w:tc>
        <w:tc>
          <w:tcPr>
            <w:tcW w:w="1605"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评估从业人员</w:t>
            </w:r>
          </w:p>
        </w:tc>
        <w:tc>
          <w:tcPr>
            <w:tcW w:w="149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待定</w:t>
            </w:r>
          </w:p>
        </w:tc>
        <w:tc>
          <w:tcPr>
            <w:tcW w:w="11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线上</w:t>
            </w:r>
          </w:p>
        </w:tc>
        <w:tc>
          <w:tcPr>
            <w:tcW w:w="11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省评协</w:t>
            </w:r>
          </w:p>
        </w:tc>
      </w:tr>
      <w:tr>
        <w:tblPrEx>
          <w:tblCellMar>
            <w:top w:w="0" w:type="dxa"/>
            <w:left w:w="0" w:type="dxa"/>
            <w:bottom w:w="0" w:type="dxa"/>
            <w:right w:w="0" w:type="dxa"/>
          </w:tblCellMar>
        </w:tblPrEx>
        <w:trPr>
          <w:trHeight w:val="952" w:hRule="atLeast"/>
        </w:trPr>
        <w:tc>
          <w:tcPr>
            <w:tcW w:w="96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10</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案例学习</w:t>
            </w:r>
          </w:p>
        </w:tc>
        <w:tc>
          <w:tcPr>
            <w:tcW w:w="5245" w:type="dxa"/>
            <w:tcBorders>
              <w:top w:val="single" w:color="auto" w:sz="4" w:space="0"/>
              <w:left w:val="nil"/>
              <w:bottom w:val="single" w:color="auto" w:sz="4" w:space="0"/>
              <w:right w:val="single" w:color="auto" w:sz="4" w:space="0"/>
            </w:tcBorders>
            <w:vAlign w:val="center"/>
          </w:tcPr>
          <w:p>
            <w:pPr>
              <w:numPr>
                <w:ilvl w:val="0"/>
                <w:numId w:val="0"/>
              </w:numPr>
              <w:adjustRightInd w:val="0"/>
              <w:snapToGrid w:val="0"/>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整理案例集并开展培训</w:t>
            </w:r>
          </w:p>
        </w:tc>
        <w:tc>
          <w:tcPr>
            <w:tcW w:w="1605"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评估从业人员</w:t>
            </w:r>
          </w:p>
        </w:tc>
        <w:tc>
          <w:tcPr>
            <w:tcW w:w="149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12月</w:t>
            </w:r>
          </w:p>
        </w:tc>
        <w:tc>
          <w:tcPr>
            <w:tcW w:w="11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武汉</w:t>
            </w:r>
          </w:p>
        </w:tc>
        <w:tc>
          <w:tcPr>
            <w:tcW w:w="11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省评协</w:t>
            </w:r>
          </w:p>
        </w:tc>
      </w:tr>
      <w:tr>
        <w:tblPrEx>
          <w:tblCellMar>
            <w:top w:w="0" w:type="dxa"/>
            <w:left w:w="0" w:type="dxa"/>
            <w:bottom w:w="0" w:type="dxa"/>
            <w:right w:w="0" w:type="dxa"/>
          </w:tblCellMar>
        </w:tblPrEx>
        <w:trPr>
          <w:trHeight w:val="1729" w:hRule="atLeast"/>
        </w:trPr>
        <w:tc>
          <w:tcPr>
            <w:tcW w:w="96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11</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宋体" w:hAnsi="宋体" w:eastAsia="宋体" w:cs="宋体"/>
                <w:kern w:val="2"/>
                <w:sz w:val="20"/>
                <w:szCs w:val="20"/>
                <w:lang w:val="en-US" w:eastAsia="zh-CN" w:bidi="ar-SA"/>
              </w:rPr>
            </w:pPr>
            <w:r>
              <w:rPr>
                <w:rFonts w:hint="eastAsia" w:ascii="宋体" w:hAnsi="宋体" w:eastAsia="宋体" w:cs="宋体"/>
                <w:kern w:val="2"/>
                <w:sz w:val="20"/>
                <w:szCs w:val="20"/>
                <w:lang w:val="en-US" w:eastAsia="zh-CN" w:bidi="ar-SA"/>
              </w:rPr>
              <w:t>青年人才培训班</w:t>
            </w:r>
          </w:p>
        </w:tc>
        <w:tc>
          <w:tcPr>
            <w:tcW w:w="5245" w:type="dxa"/>
            <w:tcBorders>
              <w:top w:val="single" w:color="auto" w:sz="4" w:space="0"/>
              <w:left w:val="nil"/>
              <w:bottom w:val="single" w:color="auto" w:sz="4" w:space="0"/>
              <w:right w:val="single" w:color="auto" w:sz="4" w:space="0"/>
            </w:tcBorders>
            <w:vAlign w:val="center"/>
          </w:tcPr>
          <w:p>
            <w:pPr>
              <w:numPr>
                <w:ilvl w:val="0"/>
                <w:numId w:val="0"/>
              </w:numPr>
              <w:adjustRightInd w:val="0"/>
              <w:snapToGrid w:val="0"/>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根据中南财经政法大学MBA学院安排</w:t>
            </w:r>
          </w:p>
        </w:tc>
        <w:tc>
          <w:tcPr>
            <w:tcW w:w="1605" w:type="dxa"/>
            <w:tcBorders>
              <w:top w:val="single" w:color="auto" w:sz="4" w:space="0"/>
              <w:left w:val="nil"/>
              <w:bottom w:val="single" w:color="auto" w:sz="4" w:space="0"/>
              <w:right w:val="single" w:color="auto" w:sz="4" w:space="0"/>
            </w:tcBorders>
            <w:vAlign w:val="center"/>
          </w:tcPr>
          <w:p>
            <w:pPr>
              <w:adjustRightInd w:val="0"/>
              <w:snapToGrid w:val="0"/>
              <w:jc w:val="center"/>
              <w:rPr>
                <w:rFonts w:hint="default" w:ascii="宋体" w:hAnsi="宋体" w:eastAsia="宋体" w:cs="宋体"/>
                <w:kern w:val="2"/>
                <w:sz w:val="20"/>
                <w:szCs w:val="20"/>
                <w:lang w:val="en-US" w:eastAsia="zh-CN" w:bidi="ar-SA"/>
              </w:rPr>
            </w:pPr>
            <w:r>
              <w:rPr>
                <w:rFonts w:hint="eastAsia" w:ascii="宋体" w:hAnsi="宋体" w:eastAsia="宋体" w:cs="宋体"/>
                <w:kern w:val="2"/>
                <w:sz w:val="20"/>
                <w:szCs w:val="20"/>
                <w:lang w:val="en-US" w:eastAsia="zh-CN" w:bidi="ar-SA"/>
              </w:rPr>
              <w:t>首批青年学员</w:t>
            </w:r>
          </w:p>
        </w:tc>
        <w:tc>
          <w:tcPr>
            <w:tcW w:w="149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宋体" w:hAnsi="宋体" w:eastAsia="宋体" w:cs="宋体"/>
                <w:kern w:val="2"/>
                <w:sz w:val="20"/>
                <w:szCs w:val="20"/>
                <w:lang w:val="en-US" w:eastAsia="zh-CN" w:bidi="ar-SA"/>
              </w:rPr>
            </w:pPr>
            <w:r>
              <w:rPr>
                <w:rFonts w:hint="eastAsia" w:ascii="宋体" w:hAnsi="宋体" w:eastAsia="宋体" w:cs="宋体"/>
                <w:kern w:val="2"/>
                <w:sz w:val="20"/>
                <w:szCs w:val="20"/>
                <w:lang w:val="en-US" w:eastAsia="zh-CN" w:bidi="ar-SA"/>
              </w:rPr>
              <w:t>各月</w:t>
            </w:r>
          </w:p>
        </w:tc>
        <w:tc>
          <w:tcPr>
            <w:tcW w:w="11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宋体" w:hAnsi="宋体" w:eastAsia="宋体" w:cs="宋体"/>
                <w:kern w:val="2"/>
                <w:sz w:val="20"/>
                <w:szCs w:val="20"/>
                <w:lang w:val="en-US" w:eastAsia="zh-CN" w:bidi="ar-SA"/>
              </w:rPr>
            </w:pPr>
            <w:r>
              <w:rPr>
                <w:rFonts w:hint="eastAsia" w:ascii="宋体" w:hAnsi="宋体" w:eastAsia="宋体" w:cs="宋体"/>
                <w:kern w:val="2"/>
                <w:sz w:val="20"/>
                <w:szCs w:val="20"/>
                <w:lang w:val="en-US" w:eastAsia="zh-CN" w:bidi="ar-SA"/>
              </w:rPr>
              <w:t>武汉</w:t>
            </w:r>
          </w:p>
        </w:tc>
        <w:tc>
          <w:tcPr>
            <w:tcW w:w="1120" w:type="dxa"/>
            <w:tcBorders>
              <w:top w:val="single" w:color="auto" w:sz="4" w:space="0"/>
              <w:left w:val="single" w:color="auto" w:sz="4" w:space="0"/>
              <w:bottom w:val="single" w:color="auto" w:sz="4" w:space="0"/>
              <w:right w:val="single" w:color="auto" w:sz="4" w:space="0"/>
            </w:tcBorders>
            <w:vAlign w:val="center"/>
          </w:tcPr>
          <w:p>
            <w:pPr>
              <w:adjustRightInd w:val="0"/>
              <w:snapToGrid w:val="0"/>
              <w:ind w:firstLine="200" w:firstLineChars="100"/>
              <w:jc w:val="center"/>
              <w:rPr>
                <w:rFonts w:hint="default" w:ascii="宋体" w:hAnsi="宋体" w:eastAsia="宋体" w:cs="宋体"/>
                <w:kern w:val="2"/>
                <w:sz w:val="20"/>
                <w:szCs w:val="20"/>
                <w:lang w:val="en-US" w:eastAsia="zh-CN" w:bidi="ar-SA"/>
              </w:rPr>
            </w:pPr>
            <w:r>
              <w:rPr>
                <w:rFonts w:hint="eastAsia" w:ascii="宋体" w:hAnsi="宋体" w:eastAsia="宋体" w:cs="宋体"/>
                <w:kern w:val="2"/>
                <w:sz w:val="20"/>
                <w:szCs w:val="20"/>
                <w:lang w:val="en-US" w:eastAsia="zh-CN" w:bidi="ar-SA"/>
              </w:rPr>
              <w:t>省评协</w:t>
            </w:r>
          </w:p>
        </w:tc>
      </w:tr>
      <w:tr>
        <w:tblPrEx>
          <w:tblCellMar>
            <w:top w:w="0" w:type="dxa"/>
            <w:left w:w="0" w:type="dxa"/>
            <w:bottom w:w="0" w:type="dxa"/>
            <w:right w:w="0" w:type="dxa"/>
          </w:tblCellMar>
        </w:tblPrEx>
        <w:trPr>
          <w:trHeight w:val="1398" w:hRule="atLeast"/>
        </w:trPr>
        <w:tc>
          <w:tcPr>
            <w:tcW w:w="96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12</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kern w:val="2"/>
                <w:sz w:val="20"/>
                <w:szCs w:val="20"/>
                <w:lang w:val="en-US" w:eastAsia="zh-CN" w:bidi="ar-SA"/>
              </w:rPr>
            </w:pPr>
            <w:r>
              <w:rPr>
                <w:rFonts w:hint="eastAsia" w:ascii="宋体" w:hAnsi="宋体" w:eastAsia="宋体" w:cs="宋体"/>
                <w:sz w:val="20"/>
                <w:szCs w:val="20"/>
                <w:lang w:val="en-US" w:eastAsia="zh-CN"/>
              </w:rPr>
              <w:t>行政管理培训</w:t>
            </w:r>
          </w:p>
        </w:tc>
        <w:tc>
          <w:tcPr>
            <w:tcW w:w="5245" w:type="dxa"/>
            <w:tcBorders>
              <w:top w:val="single" w:color="auto" w:sz="4" w:space="0"/>
              <w:left w:val="nil"/>
              <w:bottom w:val="single" w:color="auto" w:sz="4" w:space="0"/>
              <w:right w:val="single" w:color="auto" w:sz="4" w:space="0"/>
            </w:tcBorders>
            <w:vAlign w:val="center"/>
          </w:tcPr>
          <w:p>
            <w:pPr>
              <w:numPr>
                <w:ilvl w:val="0"/>
                <w:numId w:val="4"/>
              </w:numPr>
              <w:adjustRightInd w:val="0"/>
              <w:snapToGrid w:val="0"/>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公文写作技巧</w:t>
            </w:r>
          </w:p>
          <w:p>
            <w:pPr>
              <w:numPr>
                <w:ilvl w:val="0"/>
                <w:numId w:val="4"/>
              </w:numPr>
              <w:adjustRightInd w:val="0"/>
              <w:snapToGrid w:val="0"/>
              <w:rPr>
                <w:rFonts w:hint="eastAsia" w:ascii="宋体" w:hAnsi="宋体" w:eastAsia="宋体" w:cs="宋体"/>
                <w:kern w:val="2"/>
                <w:sz w:val="20"/>
                <w:szCs w:val="20"/>
                <w:lang w:val="en-US" w:eastAsia="zh-CN" w:bidi="ar-SA"/>
              </w:rPr>
            </w:pPr>
            <w:r>
              <w:rPr>
                <w:rFonts w:hint="eastAsia" w:ascii="宋体" w:hAnsi="宋体" w:eastAsia="宋体" w:cs="宋体"/>
                <w:sz w:val="20"/>
                <w:szCs w:val="20"/>
                <w:lang w:val="en-US" w:eastAsia="zh-CN"/>
              </w:rPr>
              <w:t>行政管理有关内容</w:t>
            </w:r>
          </w:p>
        </w:tc>
        <w:tc>
          <w:tcPr>
            <w:tcW w:w="1605"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宋体" w:hAnsi="宋体" w:eastAsia="宋体" w:cs="宋体"/>
                <w:kern w:val="2"/>
                <w:sz w:val="20"/>
                <w:szCs w:val="20"/>
                <w:lang w:val="en-US" w:eastAsia="zh-CN" w:bidi="ar-SA"/>
              </w:rPr>
            </w:pPr>
            <w:r>
              <w:rPr>
                <w:rFonts w:hint="eastAsia" w:ascii="宋体" w:hAnsi="宋体" w:eastAsia="宋体" w:cs="宋体"/>
                <w:sz w:val="20"/>
                <w:szCs w:val="20"/>
                <w:lang w:val="en-US" w:eastAsia="zh-CN"/>
              </w:rPr>
              <w:t>行业相关行政和从业人员</w:t>
            </w:r>
          </w:p>
        </w:tc>
        <w:tc>
          <w:tcPr>
            <w:tcW w:w="149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kern w:val="2"/>
                <w:sz w:val="20"/>
                <w:szCs w:val="20"/>
                <w:lang w:val="en-US" w:eastAsia="zh-CN" w:bidi="ar-SA"/>
              </w:rPr>
            </w:pPr>
            <w:r>
              <w:rPr>
                <w:rFonts w:hint="eastAsia" w:ascii="宋体" w:hAnsi="宋体" w:eastAsia="宋体" w:cs="宋体"/>
                <w:kern w:val="2"/>
                <w:sz w:val="20"/>
                <w:szCs w:val="20"/>
                <w:lang w:val="en-US" w:eastAsia="zh-CN" w:bidi="ar-SA"/>
              </w:rPr>
              <w:t>10月</w:t>
            </w:r>
          </w:p>
        </w:tc>
        <w:tc>
          <w:tcPr>
            <w:tcW w:w="11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kern w:val="2"/>
                <w:sz w:val="20"/>
                <w:szCs w:val="20"/>
                <w:lang w:val="en-US" w:eastAsia="zh-CN" w:bidi="ar-SA"/>
              </w:rPr>
            </w:pPr>
            <w:r>
              <w:rPr>
                <w:rFonts w:hint="eastAsia" w:ascii="宋体" w:hAnsi="宋体" w:eastAsia="宋体" w:cs="宋体"/>
                <w:kern w:val="2"/>
                <w:sz w:val="20"/>
                <w:szCs w:val="20"/>
                <w:lang w:val="en-US" w:eastAsia="zh-CN" w:bidi="ar-SA"/>
              </w:rPr>
              <w:t>武汉</w:t>
            </w:r>
          </w:p>
        </w:tc>
        <w:tc>
          <w:tcPr>
            <w:tcW w:w="1120" w:type="dxa"/>
            <w:tcBorders>
              <w:top w:val="single" w:color="auto" w:sz="4" w:space="0"/>
              <w:left w:val="single" w:color="auto" w:sz="4" w:space="0"/>
              <w:bottom w:val="single" w:color="auto" w:sz="4" w:space="0"/>
              <w:right w:val="single" w:color="auto" w:sz="4" w:space="0"/>
            </w:tcBorders>
            <w:vAlign w:val="center"/>
          </w:tcPr>
          <w:p>
            <w:pPr>
              <w:adjustRightInd w:val="0"/>
              <w:snapToGrid w:val="0"/>
              <w:ind w:firstLine="200" w:firstLineChars="100"/>
              <w:jc w:val="center"/>
              <w:rPr>
                <w:rFonts w:hint="eastAsia" w:ascii="宋体" w:hAnsi="宋体" w:eastAsia="宋体" w:cs="宋体"/>
                <w:kern w:val="2"/>
                <w:sz w:val="20"/>
                <w:szCs w:val="20"/>
                <w:lang w:val="en-US" w:eastAsia="zh-CN" w:bidi="ar-SA"/>
              </w:rPr>
            </w:pPr>
            <w:r>
              <w:rPr>
                <w:rFonts w:hint="eastAsia" w:ascii="宋体" w:hAnsi="宋体" w:eastAsia="宋体" w:cs="宋体"/>
                <w:sz w:val="20"/>
                <w:szCs w:val="20"/>
                <w:lang w:val="en-US" w:eastAsia="zh-CN"/>
              </w:rPr>
              <w:t>省评协</w:t>
            </w:r>
          </w:p>
        </w:tc>
      </w:tr>
    </w:tbl>
    <w:p>
      <w:pPr>
        <w:rPr>
          <w:rFonts w:hint="eastAsia" w:asciiTheme="majorEastAsia" w:hAnsiTheme="majorEastAsia" w:eastAsiaTheme="majorEastAsia" w:cstheme="majorEastAsia"/>
          <w:b/>
          <w:sz w:val="21"/>
          <w:szCs w:val="21"/>
        </w:rPr>
      </w:pPr>
    </w:p>
    <w:p>
      <w:pPr>
        <w:spacing w:line="500" w:lineRule="exact"/>
        <w:jc w:val="left"/>
        <w:rPr>
          <w:rFonts w:hint="eastAsia" w:ascii="黑体" w:hAnsi="黑体" w:eastAsia="黑体"/>
          <w:szCs w:val="32"/>
          <w:lang w:val="en-US" w:eastAsia="zh-CN"/>
        </w:rPr>
      </w:pPr>
    </w:p>
    <w:p>
      <w:pPr>
        <w:spacing w:line="500" w:lineRule="exact"/>
        <w:jc w:val="left"/>
        <w:rPr>
          <w:rFonts w:hint="eastAsia" w:ascii="黑体" w:hAnsi="黑体" w:eastAsia="黑体"/>
          <w:szCs w:val="32"/>
          <w:lang w:val="en-US" w:eastAsia="zh-CN"/>
        </w:rPr>
      </w:pPr>
    </w:p>
    <w:p>
      <w:pPr>
        <w:spacing w:line="500" w:lineRule="exact"/>
        <w:jc w:val="left"/>
        <w:rPr>
          <w:rFonts w:hint="default" w:ascii="黑体" w:hAnsi="黑体" w:eastAsia="黑体"/>
          <w:sz w:val="28"/>
          <w:szCs w:val="44"/>
          <w:lang w:val="en-US" w:eastAsia="zh-CN"/>
        </w:rPr>
      </w:pPr>
      <w:r>
        <w:rPr>
          <w:rFonts w:hint="eastAsia" w:ascii="黑体" w:hAnsi="黑体" w:eastAsia="黑体"/>
          <w:sz w:val="28"/>
          <w:szCs w:val="44"/>
          <w:lang w:val="en-US" w:eastAsia="zh-CN"/>
        </w:rPr>
        <w:t>附件二：</w:t>
      </w:r>
    </w:p>
    <w:p>
      <w:pPr>
        <w:spacing w:line="500" w:lineRule="exact"/>
        <w:jc w:val="center"/>
        <w:rPr>
          <w:rFonts w:ascii="方正小标宋简体" w:hAnsi="华文中宋" w:eastAsia="方正小标宋简体"/>
          <w:sz w:val="44"/>
          <w:szCs w:val="44"/>
        </w:rPr>
      </w:pPr>
      <w:r>
        <w:rPr>
          <w:rFonts w:hint="eastAsia" w:ascii="方正小标宋简体" w:hAnsi="华文中宋" w:eastAsia="方正小标宋简体"/>
          <w:sz w:val="44"/>
          <w:szCs w:val="44"/>
        </w:rPr>
        <w:t>中国资产评估协会2023年培训计划</w:t>
      </w:r>
    </w:p>
    <w:p>
      <w:pPr>
        <w:spacing w:line="560" w:lineRule="exact"/>
        <w:jc w:val="center"/>
        <w:rPr>
          <w:rFonts w:ascii="仿宋" w:hAnsi="仿宋"/>
          <w:b/>
          <w:szCs w:val="32"/>
        </w:rPr>
      </w:pPr>
    </w:p>
    <w:p>
      <w:pPr>
        <w:numPr>
          <w:ilvl w:val="0"/>
          <w:numId w:val="5"/>
        </w:numPr>
        <w:jc w:val="left"/>
        <w:rPr>
          <w:rFonts w:hint="eastAsia" w:ascii="黑体" w:hAnsi="黑体" w:eastAsia="黑体"/>
        </w:rPr>
      </w:pPr>
      <w:r>
        <w:rPr>
          <w:rFonts w:hint="eastAsia" w:ascii="黑体" w:hAnsi="黑体" w:eastAsia="黑体"/>
        </w:rPr>
        <w:t>业务培训班</w:t>
      </w:r>
    </w:p>
    <w:tbl>
      <w:tblPr>
        <w:tblStyle w:val="6"/>
        <w:tblpPr w:leftFromText="180" w:rightFromText="180" w:vertAnchor="text" w:horzAnchor="margin" w:tblpXSpec="center" w:tblpY="219"/>
        <w:tblW w:w="148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2450"/>
        <w:gridCol w:w="4766"/>
        <w:gridCol w:w="1418"/>
        <w:gridCol w:w="1461"/>
        <w:gridCol w:w="807"/>
        <w:gridCol w:w="1275"/>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tblHeader/>
        </w:trPr>
        <w:tc>
          <w:tcPr>
            <w:tcW w:w="852" w:type="dxa"/>
            <w:shd w:val="clear" w:color="auto" w:fill="auto"/>
            <w:vAlign w:val="center"/>
          </w:tcPr>
          <w:p>
            <w:pPr>
              <w:spacing w:line="276" w:lineRule="auto"/>
              <w:jc w:val="center"/>
              <w:rPr>
                <w:rFonts w:ascii="宋体" w:hAnsi="宋体"/>
                <w:b/>
                <w:sz w:val="24"/>
                <w:szCs w:val="24"/>
              </w:rPr>
            </w:pPr>
            <w:r>
              <w:rPr>
                <w:rFonts w:hint="eastAsia" w:ascii="宋体" w:hAnsi="宋体"/>
                <w:b/>
                <w:sz w:val="24"/>
                <w:szCs w:val="24"/>
              </w:rPr>
              <w:t>序号</w:t>
            </w:r>
          </w:p>
        </w:tc>
        <w:tc>
          <w:tcPr>
            <w:tcW w:w="2450" w:type="dxa"/>
            <w:shd w:val="clear" w:color="auto" w:fill="auto"/>
            <w:vAlign w:val="center"/>
          </w:tcPr>
          <w:p>
            <w:pPr>
              <w:spacing w:line="276" w:lineRule="auto"/>
              <w:jc w:val="center"/>
              <w:rPr>
                <w:rFonts w:ascii="宋体" w:hAnsi="宋体"/>
                <w:b/>
                <w:sz w:val="24"/>
                <w:szCs w:val="24"/>
              </w:rPr>
            </w:pPr>
            <w:r>
              <w:rPr>
                <w:rFonts w:hint="eastAsia" w:ascii="宋体" w:hAnsi="宋体"/>
                <w:b/>
                <w:sz w:val="24"/>
                <w:szCs w:val="24"/>
              </w:rPr>
              <w:t>培训（研讨）班名称</w:t>
            </w:r>
          </w:p>
        </w:tc>
        <w:tc>
          <w:tcPr>
            <w:tcW w:w="4766" w:type="dxa"/>
            <w:shd w:val="clear" w:color="auto" w:fill="auto"/>
            <w:vAlign w:val="center"/>
          </w:tcPr>
          <w:p>
            <w:pPr>
              <w:spacing w:line="276" w:lineRule="auto"/>
              <w:jc w:val="center"/>
              <w:rPr>
                <w:rFonts w:ascii="宋体" w:hAnsi="宋体"/>
                <w:b/>
                <w:sz w:val="24"/>
                <w:szCs w:val="24"/>
              </w:rPr>
            </w:pPr>
            <w:r>
              <w:rPr>
                <w:rFonts w:hint="eastAsia" w:ascii="宋体" w:hAnsi="宋体"/>
                <w:b/>
                <w:sz w:val="24"/>
                <w:szCs w:val="24"/>
              </w:rPr>
              <w:t>培训内容</w:t>
            </w:r>
          </w:p>
        </w:tc>
        <w:tc>
          <w:tcPr>
            <w:tcW w:w="1418" w:type="dxa"/>
            <w:shd w:val="clear" w:color="auto" w:fill="auto"/>
            <w:vAlign w:val="center"/>
          </w:tcPr>
          <w:p>
            <w:pPr>
              <w:spacing w:line="276" w:lineRule="auto"/>
              <w:jc w:val="center"/>
              <w:rPr>
                <w:rFonts w:ascii="宋体" w:hAnsi="宋体"/>
                <w:b/>
                <w:sz w:val="24"/>
                <w:szCs w:val="24"/>
              </w:rPr>
            </w:pPr>
            <w:r>
              <w:rPr>
                <w:rFonts w:hint="eastAsia" w:ascii="宋体" w:hAnsi="宋体"/>
                <w:b/>
                <w:sz w:val="24"/>
                <w:szCs w:val="24"/>
              </w:rPr>
              <w:t>培训对象</w:t>
            </w:r>
          </w:p>
        </w:tc>
        <w:tc>
          <w:tcPr>
            <w:tcW w:w="1461" w:type="dxa"/>
            <w:shd w:val="clear" w:color="auto" w:fill="auto"/>
            <w:vAlign w:val="center"/>
          </w:tcPr>
          <w:p>
            <w:pPr>
              <w:spacing w:line="276" w:lineRule="auto"/>
              <w:jc w:val="center"/>
              <w:rPr>
                <w:rFonts w:ascii="宋体" w:hAnsi="宋体"/>
                <w:b/>
                <w:sz w:val="24"/>
                <w:szCs w:val="24"/>
              </w:rPr>
            </w:pPr>
            <w:r>
              <w:rPr>
                <w:rFonts w:hint="eastAsia" w:ascii="宋体" w:hAnsi="宋体"/>
                <w:b/>
                <w:sz w:val="24"/>
                <w:szCs w:val="24"/>
              </w:rPr>
              <w:t>地点</w:t>
            </w:r>
          </w:p>
        </w:tc>
        <w:tc>
          <w:tcPr>
            <w:tcW w:w="807" w:type="dxa"/>
            <w:shd w:val="clear" w:color="auto" w:fill="auto"/>
            <w:vAlign w:val="center"/>
          </w:tcPr>
          <w:p>
            <w:pPr>
              <w:spacing w:line="276" w:lineRule="auto"/>
              <w:jc w:val="center"/>
              <w:rPr>
                <w:rFonts w:ascii="宋体" w:hAnsi="宋体"/>
                <w:b/>
                <w:sz w:val="24"/>
                <w:szCs w:val="24"/>
              </w:rPr>
            </w:pPr>
            <w:r>
              <w:rPr>
                <w:rFonts w:hint="eastAsia" w:ascii="宋体" w:hAnsi="宋体"/>
                <w:b/>
                <w:sz w:val="24"/>
                <w:szCs w:val="24"/>
              </w:rPr>
              <w:t>天数</w:t>
            </w:r>
          </w:p>
        </w:tc>
        <w:tc>
          <w:tcPr>
            <w:tcW w:w="1275" w:type="dxa"/>
            <w:shd w:val="clear" w:color="auto" w:fill="auto"/>
            <w:vAlign w:val="center"/>
          </w:tcPr>
          <w:p>
            <w:pPr>
              <w:spacing w:line="276" w:lineRule="auto"/>
              <w:jc w:val="center"/>
              <w:rPr>
                <w:rFonts w:ascii="宋体" w:hAnsi="宋体"/>
                <w:b/>
                <w:sz w:val="24"/>
                <w:szCs w:val="24"/>
              </w:rPr>
            </w:pPr>
            <w:r>
              <w:rPr>
                <w:rFonts w:hint="eastAsia" w:ascii="宋体" w:hAnsi="宋体"/>
                <w:b/>
                <w:sz w:val="24"/>
                <w:szCs w:val="24"/>
              </w:rPr>
              <w:t>培训方式</w:t>
            </w:r>
          </w:p>
        </w:tc>
        <w:tc>
          <w:tcPr>
            <w:tcW w:w="1843" w:type="dxa"/>
            <w:shd w:val="clear" w:color="auto" w:fill="auto"/>
            <w:vAlign w:val="center"/>
          </w:tcPr>
          <w:p>
            <w:pPr>
              <w:spacing w:line="276" w:lineRule="auto"/>
              <w:jc w:val="center"/>
              <w:rPr>
                <w:rFonts w:ascii="宋体" w:hAnsi="宋体"/>
                <w:b/>
                <w:sz w:val="24"/>
                <w:szCs w:val="24"/>
              </w:rPr>
            </w:pPr>
            <w:r>
              <w:rPr>
                <w:rFonts w:hint="eastAsia" w:ascii="宋体" w:hAnsi="宋体"/>
                <w:b/>
                <w:sz w:val="24"/>
                <w:szCs w:val="24"/>
              </w:rPr>
              <w:t>预计培训时间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3" w:hRule="atLeast"/>
        </w:trPr>
        <w:tc>
          <w:tcPr>
            <w:tcW w:w="852" w:type="dxa"/>
            <w:shd w:val="clear" w:color="auto" w:fill="auto"/>
            <w:vAlign w:val="center"/>
          </w:tcPr>
          <w:p>
            <w:pPr>
              <w:spacing w:line="260" w:lineRule="exact"/>
              <w:jc w:val="center"/>
              <w:rPr>
                <w:rFonts w:ascii="宋体" w:hAnsi="宋体" w:eastAsia="宋体"/>
                <w:sz w:val="20"/>
                <w:szCs w:val="20"/>
              </w:rPr>
            </w:pPr>
            <w:r>
              <w:rPr>
                <w:rFonts w:hint="eastAsia" w:ascii="宋体" w:hAnsi="宋体" w:eastAsia="宋体"/>
                <w:sz w:val="20"/>
                <w:szCs w:val="20"/>
              </w:rPr>
              <w:t>1</w:t>
            </w:r>
          </w:p>
        </w:tc>
        <w:tc>
          <w:tcPr>
            <w:tcW w:w="2450" w:type="dxa"/>
            <w:shd w:val="clear" w:color="auto" w:fill="auto"/>
            <w:vAlign w:val="center"/>
          </w:tcPr>
          <w:p>
            <w:pPr>
              <w:spacing w:line="280" w:lineRule="exact"/>
              <w:jc w:val="left"/>
              <w:rPr>
                <w:rFonts w:ascii="宋体" w:hAnsi="宋体" w:eastAsia="宋体"/>
                <w:sz w:val="20"/>
                <w:szCs w:val="21"/>
              </w:rPr>
            </w:pPr>
            <w:r>
              <w:rPr>
                <w:rFonts w:hint="eastAsia" w:ascii="宋体" w:hAnsi="宋体" w:eastAsia="宋体"/>
                <w:sz w:val="20"/>
                <w:szCs w:val="21"/>
              </w:rPr>
              <w:t>资产评估准则解读培训班</w:t>
            </w:r>
          </w:p>
        </w:tc>
        <w:tc>
          <w:tcPr>
            <w:tcW w:w="4766" w:type="dxa"/>
            <w:shd w:val="clear" w:color="auto" w:fill="auto"/>
            <w:vAlign w:val="center"/>
          </w:tcPr>
          <w:p>
            <w:pPr>
              <w:adjustRightInd w:val="0"/>
              <w:snapToGrid w:val="0"/>
              <w:rPr>
                <w:rFonts w:ascii="宋体" w:hAnsi="宋体" w:eastAsia="宋体"/>
                <w:sz w:val="20"/>
                <w:szCs w:val="21"/>
              </w:rPr>
            </w:pPr>
            <w:r>
              <w:rPr>
                <w:rFonts w:hint="eastAsia" w:ascii="宋体" w:hAnsi="宋体" w:eastAsia="宋体"/>
                <w:sz w:val="20"/>
                <w:szCs w:val="21"/>
              </w:rPr>
              <w:t>1.资产评估法律法规讲解</w:t>
            </w:r>
          </w:p>
          <w:p>
            <w:pPr>
              <w:adjustRightInd w:val="0"/>
              <w:snapToGrid w:val="0"/>
              <w:rPr>
                <w:rFonts w:ascii="宋体" w:hAnsi="宋体" w:eastAsia="宋体"/>
                <w:sz w:val="20"/>
                <w:szCs w:val="21"/>
              </w:rPr>
            </w:pPr>
            <w:r>
              <w:rPr>
                <w:rFonts w:hint="eastAsia" w:ascii="宋体" w:hAnsi="宋体" w:eastAsia="宋体"/>
                <w:sz w:val="20"/>
                <w:szCs w:val="21"/>
              </w:rPr>
              <w:t>2.资产评估执业准则讲解</w:t>
            </w:r>
          </w:p>
          <w:p>
            <w:pPr>
              <w:adjustRightInd w:val="0"/>
              <w:snapToGrid w:val="0"/>
              <w:rPr>
                <w:rFonts w:ascii="宋体" w:hAnsi="宋体" w:eastAsia="宋体"/>
                <w:sz w:val="20"/>
                <w:szCs w:val="21"/>
              </w:rPr>
            </w:pPr>
            <w:r>
              <w:rPr>
                <w:rFonts w:hint="eastAsia" w:ascii="宋体" w:hAnsi="宋体" w:eastAsia="宋体"/>
                <w:sz w:val="20"/>
                <w:szCs w:val="21"/>
              </w:rPr>
              <w:t>3.资产评估指南、指导意见、操作指引讲解</w:t>
            </w:r>
          </w:p>
          <w:p>
            <w:pPr>
              <w:adjustRightInd w:val="0"/>
              <w:snapToGrid w:val="0"/>
              <w:rPr>
                <w:rFonts w:ascii="宋体" w:hAnsi="宋体" w:eastAsia="宋体"/>
                <w:sz w:val="20"/>
                <w:szCs w:val="21"/>
              </w:rPr>
            </w:pPr>
            <w:r>
              <w:rPr>
                <w:rFonts w:hint="eastAsia" w:ascii="宋体" w:hAnsi="宋体" w:eastAsia="宋体"/>
                <w:sz w:val="20"/>
                <w:szCs w:val="21"/>
              </w:rPr>
              <w:t>4.新《国际评估准则》讲解</w:t>
            </w:r>
          </w:p>
          <w:p>
            <w:pPr>
              <w:adjustRightInd w:val="0"/>
              <w:snapToGrid w:val="0"/>
              <w:rPr>
                <w:rFonts w:ascii="宋体" w:hAnsi="宋体" w:eastAsia="宋体"/>
                <w:sz w:val="20"/>
                <w:szCs w:val="21"/>
              </w:rPr>
            </w:pPr>
            <w:r>
              <w:rPr>
                <w:rFonts w:hint="eastAsia" w:ascii="宋体" w:hAnsi="宋体" w:eastAsia="宋体"/>
                <w:sz w:val="20"/>
                <w:szCs w:val="21"/>
              </w:rPr>
              <w:t>5.资产评估专家指引讲解</w:t>
            </w:r>
          </w:p>
        </w:tc>
        <w:tc>
          <w:tcPr>
            <w:tcW w:w="1418" w:type="dxa"/>
            <w:shd w:val="clear" w:color="auto" w:fill="auto"/>
            <w:vAlign w:val="center"/>
          </w:tcPr>
          <w:p>
            <w:pPr>
              <w:spacing w:line="280" w:lineRule="exact"/>
              <w:rPr>
                <w:rFonts w:ascii="宋体" w:hAnsi="宋体" w:eastAsia="宋体"/>
                <w:sz w:val="20"/>
                <w:szCs w:val="21"/>
              </w:rPr>
            </w:pPr>
            <w:r>
              <w:rPr>
                <w:rFonts w:hint="eastAsia" w:ascii="宋体" w:hAnsi="宋体" w:eastAsia="宋体"/>
                <w:sz w:val="20"/>
                <w:szCs w:val="20"/>
              </w:rPr>
              <w:t>资产评估师</w:t>
            </w:r>
          </w:p>
        </w:tc>
        <w:tc>
          <w:tcPr>
            <w:tcW w:w="1461" w:type="dxa"/>
            <w:shd w:val="clear" w:color="auto" w:fill="auto"/>
            <w:vAlign w:val="center"/>
          </w:tcPr>
          <w:p>
            <w:pPr>
              <w:spacing w:line="280" w:lineRule="exact"/>
              <w:jc w:val="center"/>
              <w:rPr>
                <w:rFonts w:ascii="宋体" w:hAnsi="宋体" w:eastAsia="宋体"/>
                <w:sz w:val="20"/>
                <w:szCs w:val="21"/>
              </w:rPr>
            </w:pPr>
            <w:r>
              <w:rPr>
                <w:rFonts w:hint="eastAsia" w:ascii="宋体" w:hAnsi="宋体" w:eastAsia="宋体"/>
                <w:sz w:val="20"/>
                <w:szCs w:val="20"/>
              </w:rPr>
              <w:t>上海国家会计学院</w:t>
            </w:r>
          </w:p>
        </w:tc>
        <w:tc>
          <w:tcPr>
            <w:tcW w:w="807" w:type="dxa"/>
            <w:shd w:val="clear" w:color="auto" w:fill="auto"/>
            <w:vAlign w:val="center"/>
          </w:tcPr>
          <w:p>
            <w:pPr>
              <w:spacing w:line="280" w:lineRule="exact"/>
              <w:jc w:val="center"/>
              <w:rPr>
                <w:rFonts w:ascii="宋体" w:hAnsi="宋体" w:eastAsia="宋体"/>
                <w:sz w:val="20"/>
                <w:szCs w:val="21"/>
              </w:rPr>
            </w:pPr>
            <w:r>
              <w:rPr>
                <w:rFonts w:hint="eastAsia" w:ascii="宋体" w:hAnsi="宋体" w:eastAsia="宋体"/>
                <w:sz w:val="20"/>
                <w:szCs w:val="21"/>
              </w:rPr>
              <w:t>3</w:t>
            </w:r>
          </w:p>
        </w:tc>
        <w:tc>
          <w:tcPr>
            <w:tcW w:w="1275" w:type="dxa"/>
            <w:shd w:val="clear" w:color="auto" w:fill="auto"/>
            <w:vAlign w:val="center"/>
          </w:tcPr>
          <w:p>
            <w:pPr>
              <w:spacing w:line="280" w:lineRule="exact"/>
              <w:jc w:val="center"/>
              <w:rPr>
                <w:rFonts w:ascii="宋体" w:hAnsi="宋体" w:eastAsia="宋体"/>
                <w:sz w:val="20"/>
                <w:szCs w:val="21"/>
              </w:rPr>
            </w:pPr>
            <w:r>
              <w:rPr>
                <w:rFonts w:hint="eastAsia" w:ascii="宋体" w:hAnsi="宋体" w:eastAsia="宋体"/>
                <w:sz w:val="20"/>
                <w:szCs w:val="21"/>
              </w:rPr>
              <w:t>网络直播</w:t>
            </w:r>
          </w:p>
        </w:tc>
        <w:tc>
          <w:tcPr>
            <w:tcW w:w="1843" w:type="dxa"/>
            <w:shd w:val="clear" w:color="auto" w:fill="auto"/>
            <w:vAlign w:val="center"/>
          </w:tcPr>
          <w:p>
            <w:pPr>
              <w:spacing w:line="280" w:lineRule="exact"/>
              <w:jc w:val="center"/>
              <w:rPr>
                <w:rFonts w:ascii="宋体" w:hAnsi="宋体" w:eastAsia="宋体"/>
                <w:sz w:val="20"/>
                <w:szCs w:val="20"/>
              </w:rPr>
            </w:pPr>
            <w:r>
              <w:rPr>
                <w:rFonts w:hint="eastAsia" w:ascii="宋体" w:hAnsi="宋体" w:eastAsia="宋体"/>
                <w:sz w:val="20"/>
                <w:szCs w:val="21"/>
              </w:rPr>
              <w:t>4月11-13日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7" w:hRule="atLeast"/>
        </w:trPr>
        <w:tc>
          <w:tcPr>
            <w:tcW w:w="852" w:type="dxa"/>
            <w:shd w:val="clear" w:color="auto" w:fill="auto"/>
            <w:vAlign w:val="center"/>
          </w:tcPr>
          <w:p>
            <w:pPr>
              <w:spacing w:line="260" w:lineRule="exact"/>
              <w:jc w:val="center"/>
              <w:rPr>
                <w:rFonts w:ascii="宋体" w:hAnsi="宋体" w:eastAsia="宋体"/>
                <w:sz w:val="20"/>
                <w:szCs w:val="20"/>
              </w:rPr>
            </w:pPr>
            <w:r>
              <w:rPr>
                <w:rFonts w:hint="eastAsia" w:ascii="宋体" w:hAnsi="宋体" w:eastAsia="宋体"/>
                <w:sz w:val="20"/>
                <w:szCs w:val="20"/>
              </w:rPr>
              <w:t>2</w:t>
            </w:r>
          </w:p>
        </w:tc>
        <w:tc>
          <w:tcPr>
            <w:tcW w:w="2450" w:type="dxa"/>
            <w:shd w:val="clear" w:color="auto" w:fill="auto"/>
            <w:vAlign w:val="center"/>
          </w:tcPr>
          <w:p>
            <w:pPr>
              <w:spacing w:line="280" w:lineRule="exact"/>
              <w:jc w:val="left"/>
              <w:rPr>
                <w:rFonts w:ascii="宋体" w:hAnsi="宋体" w:eastAsia="宋体"/>
                <w:sz w:val="20"/>
                <w:szCs w:val="21"/>
              </w:rPr>
            </w:pPr>
            <w:r>
              <w:rPr>
                <w:rFonts w:hint="eastAsia" w:ascii="宋体" w:hAnsi="宋体" w:eastAsia="宋体"/>
                <w:sz w:val="20"/>
                <w:szCs w:val="21"/>
              </w:rPr>
              <w:t>资产评估实务基础培训班</w:t>
            </w:r>
          </w:p>
        </w:tc>
        <w:tc>
          <w:tcPr>
            <w:tcW w:w="4766" w:type="dxa"/>
            <w:shd w:val="clear" w:color="auto" w:fill="auto"/>
            <w:vAlign w:val="center"/>
          </w:tcPr>
          <w:p>
            <w:pPr>
              <w:adjustRightInd w:val="0"/>
              <w:snapToGrid w:val="0"/>
              <w:rPr>
                <w:rFonts w:ascii="宋体" w:hAnsi="宋体" w:eastAsia="宋体"/>
                <w:sz w:val="20"/>
                <w:szCs w:val="21"/>
              </w:rPr>
            </w:pPr>
            <w:r>
              <w:rPr>
                <w:rFonts w:hint="eastAsia" w:ascii="宋体" w:hAnsi="宋体" w:eastAsia="宋体"/>
                <w:sz w:val="20"/>
                <w:szCs w:val="21"/>
              </w:rPr>
              <w:t>1.</w:t>
            </w:r>
            <w:r>
              <w:rPr>
                <w:rFonts w:hint="eastAsia" w:ascii="宋体" w:hAnsi="宋体" w:eastAsia="宋体"/>
                <w:color w:val="000000"/>
                <w:sz w:val="20"/>
                <w:szCs w:val="20"/>
              </w:rPr>
              <w:t>国有资产管理情况报告制度解读</w:t>
            </w:r>
          </w:p>
          <w:p>
            <w:pPr>
              <w:adjustRightInd w:val="0"/>
              <w:snapToGrid w:val="0"/>
              <w:rPr>
                <w:rFonts w:ascii="宋体" w:hAnsi="宋体" w:eastAsia="宋体"/>
                <w:sz w:val="20"/>
                <w:szCs w:val="21"/>
              </w:rPr>
            </w:pPr>
            <w:r>
              <w:rPr>
                <w:rFonts w:hint="eastAsia" w:ascii="宋体" w:hAnsi="宋体" w:eastAsia="宋体"/>
                <w:sz w:val="20"/>
                <w:szCs w:val="21"/>
              </w:rPr>
              <w:t>2.评估报告编制实务及案例讲解</w:t>
            </w:r>
          </w:p>
          <w:p>
            <w:pPr>
              <w:adjustRightInd w:val="0"/>
              <w:snapToGrid w:val="0"/>
              <w:rPr>
                <w:rFonts w:ascii="宋体" w:hAnsi="宋体" w:eastAsia="宋体"/>
                <w:sz w:val="20"/>
                <w:szCs w:val="21"/>
              </w:rPr>
            </w:pPr>
            <w:r>
              <w:rPr>
                <w:rFonts w:hint="eastAsia" w:ascii="宋体" w:hAnsi="宋体" w:eastAsia="宋体"/>
                <w:sz w:val="20"/>
                <w:szCs w:val="21"/>
              </w:rPr>
              <w:t>3.评估工作底稿编制实务及案例讲解</w:t>
            </w:r>
          </w:p>
          <w:p>
            <w:pPr>
              <w:adjustRightInd w:val="0"/>
              <w:snapToGrid w:val="0"/>
              <w:rPr>
                <w:rFonts w:ascii="宋体" w:hAnsi="宋体"/>
                <w:sz w:val="20"/>
                <w:szCs w:val="21"/>
              </w:rPr>
            </w:pPr>
            <w:r>
              <w:rPr>
                <w:rFonts w:hint="eastAsia" w:ascii="宋体" w:hAnsi="宋体" w:eastAsia="宋体"/>
                <w:sz w:val="20"/>
                <w:szCs w:val="21"/>
              </w:rPr>
              <w:t>4</w:t>
            </w:r>
            <w:r>
              <w:rPr>
                <w:rFonts w:ascii="宋体" w:hAnsi="宋体" w:eastAsia="宋体"/>
                <w:sz w:val="20"/>
                <w:szCs w:val="21"/>
              </w:rPr>
              <w:t>.</w:t>
            </w:r>
            <w:r>
              <w:rPr>
                <w:rFonts w:hint="eastAsia" w:ascii="宋体" w:hAnsi="宋体" w:eastAsia="宋体"/>
                <w:sz w:val="20"/>
                <w:szCs w:val="21"/>
              </w:rPr>
              <w:t>无形资产评估重点难点及案例讲解</w:t>
            </w:r>
          </w:p>
          <w:p>
            <w:pPr>
              <w:adjustRightInd w:val="0"/>
              <w:snapToGrid w:val="0"/>
              <w:rPr>
                <w:rFonts w:ascii="宋体" w:hAnsi="宋体" w:eastAsia="宋体"/>
                <w:sz w:val="20"/>
                <w:szCs w:val="21"/>
              </w:rPr>
            </w:pPr>
            <w:r>
              <w:rPr>
                <w:rFonts w:hint="eastAsia" w:ascii="宋体" w:hAnsi="宋体" w:eastAsia="宋体"/>
                <w:sz w:val="20"/>
                <w:szCs w:val="21"/>
              </w:rPr>
              <w:t>5.证券市场业务资产评估实务与案例分析</w:t>
            </w:r>
          </w:p>
          <w:p>
            <w:pPr>
              <w:adjustRightInd w:val="0"/>
              <w:snapToGrid w:val="0"/>
              <w:rPr>
                <w:rFonts w:ascii="宋体" w:hAnsi="宋体" w:eastAsia="宋体"/>
                <w:sz w:val="20"/>
                <w:szCs w:val="20"/>
              </w:rPr>
            </w:pPr>
            <w:r>
              <w:rPr>
                <w:rFonts w:hint="eastAsia" w:ascii="宋体" w:hAnsi="宋体" w:eastAsia="宋体"/>
                <w:sz w:val="20"/>
                <w:szCs w:val="21"/>
              </w:rPr>
              <w:t>6.资产评估业务质量检查中重点问题讲解</w:t>
            </w:r>
          </w:p>
        </w:tc>
        <w:tc>
          <w:tcPr>
            <w:tcW w:w="1418" w:type="dxa"/>
            <w:shd w:val="clear" w:color="auto" w:fill="auto"/>
            <w:vAlign w:val="center"/>
          </w:tcPr>
          <w:p>
            <w:pPr>
              <w:spacing w:line="260" w:lineRule="exact"/>
              <w:rPr>
                <w:rFonts w:ascii="宋体" w:hAnsi="宋体" w:eastAsia="宋体"/>
                <w:sz w:val="20"/>
                <w:szCs w:val="20"/>
              </w:rPr>
            </w:pPr>
            <w:r>
              <w:rPr>
                <w:rFonts w:hint="eastAsia" w:ascii="宋体" w:hAnsi="宋体" w:eastAsia="宋体"/>
                <w:sz w:val="20"/>
                <w:szCs w:val="20"/>
              </w:rPr>
              <w:t>资产评估师</w:t>
            </w:r>
          </w:p>
        </w:tc>
        <w:tc>
          <w:tcPr>
            <w:tcW w:w="1461" w:type="dxa"/>
            <w:shd w:val="clear" w:color="auto" w:fill="auto"/>
            <w:vAlign w:val="center"/>
          </w:tcPr>
          <w:p>
            <w:pPr>
              <w:spacing w:line="280" w:lineRule="exact"/>
              <w:jc w:val="center"/>
              <w:rPr>
                <w:rFonts w:ascii="宋体" w:hAnsi="宋体" w:eastAsia="宋体"/>
                <w:sz w:val="20"/>
                <w:szCs w:val="20"/>
              </w:rPr>
            </w:pPr>
            <w:r>
              <w:rPr>
                <w:rFonts w:hint="eastAsia" w:ascii="宋体" w:hAnsi="宋体" w:eastAsia="宋体"/>
                <w:sz w:val="20"/>
                <w:szCs w:val="20"/>
              </w:rPr>
              <w:t>厦门国家会计学院</w:t>
            </w:r>
          </w:p>
        </w:tc>
        <w:tc>
          <w:tcPr>
            <w:tcW w:w="807" w:type="dxa"/>
            <w:shd w:val="clear" w:color="auto" w:fill="auto"/>
            <w:vAlign w:val="center"/>
          </w:tcPr>
          <w:p>
            <w:pPr>
              <w:spacing w:line="280" w:lineRule="exact"/>
              <w:jc w:val="center"/>
              <w:rPr>
                <w:rFonts w:ascii="宋体" w:hAnsi="宋体" w:eastAsia="宋体"/>
                <w:sz w:val="20"/>
                <w:szCs w:val="20"/>
              </w:rPr>
            </w:pPr>
            <w:r>
              <w:rPr>
                <w:rFonts w:hint="eastAsia" w:ascii="宋体" w:hAnsi="宋体" w:eastAsia="宋体"/>
                <w:sz w:val="20"/>
                <w:szCs w:val="21"/>
              </w:rPr>
              <w:t>3</w:t>
            </w:r>
          </w:p>
        </w:tc>
        <w:tc>
          <w:tcPr>
            <w:tcW w:w="1275" w:type="dxa"/>
            <w:shd w:val="clear" w:color="auto" w:fill="auto"/>
            <w:vAlign w:val="center"/>
          </w:tcPr>
          <w:p>
            <w:pPr>
              <w:spacing w:line="280" w:lineRule="exact"/>
              <w:jc w:val="center"/>
              <w:rPr>
                <w:rFonts w:ascii="宋体" w:hAnsi="宋体" w:eastAsia="宋体"/>
                <w:sz w:val="20"/>
                <w:szCs w:val="21"/>
              </w:rPr>
            </w:pPr>
            <w:r>
              <w:rPr>
                <w:rFonts w:hint="eastAsia" w:ascii="宋体" w:hAnsi="宋体" w:eastAsia="宋体"/>
                <w:sz w:val="20"/>
                <w:szCs w:val="21"/>
              </w:rPr>
              <w:t>网络直播</w:t>
            </w:r>
          </w:p>
        </w:tc>
        <w:tc>
          <w:tcPr>
            <w:tcW w:w="1843" w:type="dxa"/>
            <w:shd w:val="clear" w:color="auto" w:fill="auto"/>
            <w:vAlign w:val="center"/>
          </w:tcPr>
          <w:p>
            <w:pPr>
              <w:spacing w:line="280" w:lineRule="exact"/>
              <w:jc w:val="center"/>
              <w:rPr>
                <w:rFonts w:ascii="宋体" w:hAnsi="宋体" w:eastAsia="宋体"/>
                <w:sz w:val="20"/>
                <w:szCs w:val="21"/>
              </w:rPr>
            </w:pPr>
            <w:r>
              <w:rPr>
                <w:rFonts w:hint="eastAsia" w:ascii="宋体" w:hAnsi="宋体" w:eastAsia="宋体"/>
                <w:sz w:val="20"/>
                <w:szCs w:val="21"/>
              </w:rPr>
              <w:t>5月17-19日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852" w:type="dxa"/>
            <w:shd w:val="clear" w:color="auto" w:fill="auto"/>
            <w:vAlign w:val="center"/>
          </w:tcPr>
          <w:p>
            <w:pPr>
              <w:spacing w:line="260" w:lineRule="exact"/>
              <w:jc w:val="center"/>
              <w:rPr>
                <w:rFonts w:ascii="宋体" w:hAnsi="宋体" w:eastAsia="宋体"/>
                <w:sz w:val="20"/>
                <w:szCs w:val="20"/>
              </w:rPr>
            </w:pPr>
            <w:r>
              <w:rPr>
                <w:rFonts w:hint="eastAsia" w:ascii="宋体" w:hAnsi="宋体"/>
                <w:b/>
                <w:sz w:val="24"/>
                <w:szCs w:val="24"/>
              </w:rPr>
              <w:t>序号</w:t>
            </w:r>
          </w:p>
        </w:tc>
        <w:tc>
          <w:tcPr>
            <w:tcW w:w="2450" w:type="dxa"/>
            <w:shd w:val="clear" w:color="auto" w:fill="auto"/>
            <w:vAlign w:val="center"/>
          </w:tcPr>
          <w:p>
            <w:pPr>
              <w:spacing w:line="280" w:lineRule="exact"/>
              <w:jc w:val="center"/>
              <w:rPr>
                <w:rFonts w:ascii="宋体" w:hAnsi="宋体" w:eastAsia="宋体"/>
                <w:sz w:val="20"/>
                <w:szCs w:val="21"/>
              </w:rPr>
            </w:pPr>
            <w:r>
              <w:rPr>
                <w:rFonts w:hint="eastAsia" w:ascii="宋体" w:hAnsi="宋体"/>
                <w:b/>
                <w:sz w:val="24"/>
                <w:szCs w:val="24"/>
              </w:rPr>
              <w:t>培训（研讨）班名称</w:t>
            </w:r>
          </w:p>
        </w:tc>
        <w:tc>
          <w:tcPr>
            <w:tcW w:w="4766" w:type="dxa"/>
            <w:shd w:val="clear" w:color="auto" w:fill="auto"/>
            <w:vAlign w:val="center"/>
          </w:tcPr>
          <w:p>
            <w:pPr>
              <w:spacing w:line="260" w:lineRule="exact"/>
              <w:jc w:val="center"/>
              <w:rPr>
                <w:rFonts w:ascii="宋体" w:hAnsi="宋体" w:eastAsia="宋体"/>
                <w:sz w:val="20"/>
                <w:szCs w:val="20"/>
              </w:rPr>
            </w:pPr>
            <w:r>
              <w:rPr>
                <w:rFonts w:hint="eastAsia" w:ascii="宋体" w:hAnsi="宋体"/>
                <w:b/>
                <w:sz w:val="24"/>
                <w:szCs w:val="24"/>
              </w:rPr>
              <w:t>培训内容</w:t>
            </w:r>
          </w:p>
        </w:tc>
        <w:tc>
          <w:tcPr>
            <w:tcW w:w="1418" w:type="dxa"/>
            <w:shd w:val="clear" w:color="auto" w:fill="auto"/>
            <w:vAlign w:val="center"/>
          </w:tcPr>
          <w:p>
            <w:pPr>
              <w:spacing w:line="260" w:lineRule="exact"/>
              <w:rPr>
                <w:rFonts w:ascii="宋体" w:hAnsi="宋体" w:eastAsia="宋体"/>
                <w:sz w:val="20"/>
                <w:szCs w:val="20"/>
              </w:rPr>
            </w:pPr>
            <w:r>
              <w:rPr>
                <w:rFonts w:hint="eastAsia" w:ascii="宋体" w:hAnsi="宋体"/>
                <w:b/>
                <w:sz w:val="24"/>
                <w:szCs w:val="24"/>
              </w:rPr>
              <w:t>培训对象</w:t>
            </w:r>
          </w:p>
        </w:tc>
        <w:tc>
          <w:tcPr>
            <w:tcW w:w="1461" w:type="dxa"/>
            <w:shd w:val="clear" w:color="auto" w:fill="auto"/>
            <w:vAlign w:val="center"/>
          </w:tcPr>
          <w:p>
            <w:pPr>
              <w:spacing w:line="280" w:lineRule="exact"/>
              <w:jc w:val="center"/>
              <w:rPr>
                <w:rFonts w:ascii="宋体" w:hAnsi="宋体" w:eastAsia="宋体"/>
                <w:sz w:val="20"/>
                <w:szCs w:val="20"/>
              </w:rPr>
            </w:pPr>
            <w:r>
              <w:rPr>
                <w:rFonts w:hint="eastAsia" w:ascii="宋体" w:hAnsi="宋体"/>
                <w:b/>
                <w:sz w:val="24"/>
                <w:szCs w:val="24"/>
              </w:rPr>
              <w:t>地点</w:t>
            </w:r>
          </w:p>
        </w:tc>
        <w:tc>
          <w:tcPr>
            <w:tcW w:w="807" w:type="dxa"/>
            <w:shd w:val="clear" w:color="auto" w:fill="auto"/>
            <w:vAlign w:val="center"/>
          </w:tcPr>
          <w:p>
            <w:pPr>
              <w:spacing w:line="280" w:lineRule="exact"/>
              <w:jc w:val="center"/>
              <w:rPr>
                <w:rFonts w:ascii="宋体" w:hAnsi="宋体" w:eastAsia="宋体"/>
                <w:sz w:val="20"/>
                <w:szCs w:val="20"/>
              </w:rPr>
            </w:pPr>
            <w:r>
              <w:rPr>
                <w:rFonts w:hint="eastAsia" w:ascii="宋体" w:hAnsi="宋体"/>
                <w:b/>
                <w:sz w:val="24"/>
                <w:szCs w:val="24"/>
              </w:rPr>
              <w:t>天数</w:t>
            </w:r>
          </w:p>
        </w:tc>
        <w:tc>
          <w:tcPr>
            <w:tcW w:w="1275" w:type="dxa"/>
            <w:shd w:val="clear" w:color="auto" w:fill="auto"/>
            <w:vAlign w:val="center"/>
          </w:tcPr>
          <w:p>
            <w:pPr>
              <w:spacing w:line="280" w:lineRule="exact"/>
              <w:jc w:val="center"/>
              <w:rPr>
                <w:rFonts w:ascii="宋体" w:hAnsi="宋体" w:eastAsia="宋体"/>
                <w:sz w:val="20"/>
                <w:szCs w:val="21"/>
              </w:rPr>
            </w:pPr>
            <w:r>
              <w:rPr>
                <w:rFonts w:hint="eastAsia" w:ascii="宋体" w:hAnsi="宋体"/>
                <w:b/>
                <w:sz w:val="24"/>
                <w:szCs w:val="24"/>
              </w:rPr>
              <w:t>培训方式</w:t>
            </w:r>
          </w:p>
        </w:tc>
        <w:tc>
          <w:tcPr>
            <w:tcW w:w="1843" w:type="dxa"/>
            <w:shd w:val="clear" w:color="auto" w:fill="auto"/>
            <w:vAlign w:val="center"/>
          </w:tcPr>
          <w:p>
            <w:pPr>
              <w:spacing w:line="280" w:lineRule="exact"/>
              <w:jc w:val="center"/>
              <w:rPr>
                <w:rFonts w:ascii="宋体" w:hAnsi="宋体" w:eastAsia="宋体"/>
                <w:sz w:val="20"/>
                <w:szCs w:val="21"/>
              </w:rPr>
            </w:pPr>
            <w:r>
              <w:rPr>
                <w:rFonts w:hint="eastAsia" w:ascii="宋体" w:hAnsi="宋体"/>
                <w:b/>
                <w:sz w:val="24"/>
                <w:szCs w:val="24"/>
              </w:rPr>
              <w:t>预计培训时间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4" w:hRule="atLeast"/>
        </w:trPr>
        <w:tc>
          <w:tcPr>
            <w:tcW w:w="852" w:type="dxa"/>
            <w:shd w:val="clear" w:color="auto" w:fill="auto"/>
            <w:vAlign w:val="center"/>
          </w:tcPr>
          <w:p>
            <w:pPr>
              <w:spacing w:line="260" w:lineRule="exact"/>
              <w:jc w:val="center"/>
              <w:rPr>
                <w:rFonts w:ascii="宋体" w:hAnsi="宋体" w:eastAsia="宋体"/>
                <w:sz w:val="20"/>
                <w:szCs w:val="20"/>
              </w:rPr>
            </w:pPr>
            <w:r>
              <w:rPr>
                <w:rFonts w:hint="eastAsia" w:ascii="宋体" w:hAnsi="宋体" w:eastAsia="宋体"/>
                <w:sz w:val="20"/>
                <w:szCs w:val="20"/>
              </w:rPr>
              <w:t>3</w:t>
            </w:r>
          </w:p>
        </w:tc>
        <w:tc>
          <w:tcPr>
            <w:tcW w:w="2450" w:type="dxa"/>
            <w:shd w:val="clear" w:color="auto" w:fill="auto"/>
            <w:vAlign w:val="center"/>
          </w:tcPr>
          <w:p>
            <w:pPr>
              <w:spacing w:line="280" w:lineRule="exact"/>
              <w:jc w:val="left"/>
              <w:rPr>
                <w:rFonts w:ascii="宋体" w:hAnsi="宋体" w:eastAsia="宋体"/>
                <w:sz w:val="20"/>
                <w:szCs w:val="21"/>
              </w:rPr>
            </w:pPr>
            <w:r>
              <w:rPr>
                <w:rFonts w:hint="eastAsia" w:ascii="宋体" w:hAnsi="宋体" w:eastAsia="宋体"/>
                <w:sz w:val="20"/>
                <w:szCs w:val="21"/>
              </w:rPr>
              <w:t>企业破产重整评估研讨班</w:t>
            </w:r>
          </w:p>
        </w:tc>
        <w:tc>
          <w:tcPr>
            <w:tcW w:w="4766" w:type="dxa"/>
            <w:shd w:val="clear" w:color="auto" w:fill="auto"/>
            <w:vAlign w:val="center"/>
          </w:tcPr>
          <w:p>
            <w:pPr>
              <w:spacing w:line="260" w:lineRule="exact"/>
              <w:jc w:val="left"/>
              <w:rPr>
                <w:rFonts w:ascii="宋体" w:hAnsi="宋体" w:eastAsia="宋体"/>
                <w:sz w:val="20"/>
                <w:szCs w:val="20"/>
              </w:rPr>
            </w:pPr>
            <w:r>
              <w:rPr>
                <w:rFonts w:hint="eastAsia" w:ascii="宋体" w:hAnsi="宋体" w:eastAsia="宋体"/>
                <w:sz w:val="20"/>
                <w:szCs w:val="20"/>
              </w:rPr>
              <w:t>1.《企业破产法》及相关政策制度解读</w:t>
            </w:r>
          </w:p>
          <w:p>
            <w:pPr>
              <w:spacing w:line="260" w:lineRule="exact"/>
              <w:jc w:val="left"/>
              <w:rPr>
                <w:rFonts w:ascii="宋体" w:hAnsi="宋体" w:eastAsia="宋体"/>
                <w:sz w:val="20"/>
                <w:szCs w:val="20"/>
              </w:rPr>
            </w:pPr>
            <w:r>
              <w:rPr>
                <w:rFonts w:hint="eastAsia" w:ascii="宋体" w:hAnsi="宋体" w:eastAsia="宋体"/>
                <w:sz w:val="20"/>
                <w:szCs w:val="20"/>
              </w:rPr>
              <w:t>2.破产重整的模式与资产处置</w:t>
            </w:r>
          </w:p>
          <w:p>
            <w:pPr>
              <w:spacing w:line="260" w:lineRule="exact"/>
              <w:jc w:val="left"/>
              <w:rPr>
                <w:rFonts w:ascii="宋体" w:hAnsi="宋体" w:eastAsia="宋体"/>
                <w:sz w:val="20"/>
                <w:szCs w:val="20"/>
              </w:rPr>
            </w:pPr>
            <w:r>
              <w:rPr>
                <w:rFonts w:hint="eastAsia" w:ascii="宋体" w:hAnsi="宋体" w:eastAsia="宋体"/>
                <w:sz w:val="20"/>
                <w:szCs w:val="20"/>
              </w:rPr>
              <w:t>3.破产重整评估的价值衡量与破产范围确定</w:t>
            </w:r>
          </w:p>
          <w:p>
            <w:pPr>
              <w:spacing w:line="260" w:lineRule="exact"/>
              <w:jc w:val="left"/>
              <w:rPr>
                <w:rFonts w:ascii="宋体" w:hAnsi="宋体" w:eastAsia="宋体"/>
                <w:sz w:val="20"/>
                <w:szCs w:val="20"/>
              </w:rPr>
            </w:pPr>
            <w:r>
              <w:rPr>
                <w:rFonts w:hint="eastAsia" w:ascii="宋体" w:hAnsi="宋体" w:eastAsia="宋体"/>
                <w:sz w:val="20"/>
                <w:szCs w:val="20"/>
              </w:rPr>
              <w:t>4.破产重整资产评估典型案例分析与讨论</w:t>
            </w:r>
          </w:p>
          <w:p>
            <w:pPr>
              <w:spacing w:line="260" w:lineRule="exact"/>
              <w:jc w:val="left"/>
              <w:rPr>
                <w:rFonts w:ascii="宋体" w:hAnsi="宋体" w:eastAsia="宋体"/>
                <w:sz w:val="20"/>
                <w:szCs w:val="20"/>
              </w:rPr>
            </w:pPr>
            <w:r>
              <w:rPr>
                <w:rFonts w:hint="eastAsia" w:ascii="宋体" w:hAnsi="宋体" w:eastAsia="宋体"/>
                <w:sz w:val="20"/>
                <w:szCs w:val="20"/>
              </w:rPr>
              <w:t>5.破产清算审计与评估师的配合</w:t>
            </w:r>
          </w:p>
          <w:p>
            <w:pPr>
              <w:spacing w:line="260" w:lineRule="exact"/>
              <w:rPr>
                <w:rFonts w:ascii="宋体" w:hAnsi="宋体" w:eastAsia="宋体"/>
                <w:sz w:val="20"/>
                <w:szCs w:val="20"/>
              </w:rPr>
            </w:pPr>
            <w:r>
              <w:rPr>
                <w:rFonts w:hint="eastAsia" w:ascii="宋体" w:hAnsi="宋体" w:eastAsia="宋体"/>
                <w:sz w:val="20"/>
                <w:szCs w:val="20"/>
              </w:rPr>
              <w:t>6.破产重组中的无形资产评估</w:t>
            </w:r>
            <w:r>
              <w:rPr>
                <w:rFonts w:ascii="宋体" w:hAnsi="宋体" w:eastAsia="宋体"/>
                <w:sz w:val="20"/>
                <w:szCs w:val="20"/>
              </w:rPr>
              <w:t xml:space="preserve"> </w:t>
            </w:r>
          </w:p>
          <w:p>
            <w:pPr>
              <w:spacing w:line="260" w:lineRule="exact"/>
              <w:rPr>
                <w:rFonts w:ascii="宋体" w:hAnsi="宋体" w:eastAsia="宋体"/>
                <w:sz w:val="20"/>
                <w:szCs w:val="20"/>
              </w:rPr>
            </w:pPr>
            <w:r>
              <w:rPr>
                <w:rFonts w:hint="eastAsia" w:ascii="宋体" w:hAnsi="宋体" w:eastAsia="宋体"/>
                <w:sz w:val="20"/>
                <w:szCs w:val="20"/>
              </w:rPr>
              <w:t>7.司法执行财产处置中的资产评估实务</w:t>
            </w:r>
          </w:p>
        </w:tc>
        <w:tc>
          <w:tcPr>
            <w:tcW w:w="1418" w:type="dxa"/>
            <w:shd w:val="clear" w:color="auto" w:fill="auto"/>
            <w:vAlign w:val="center"/>
          </w:tcPr>
          <w:p>
            <w:pPr>
              <w:spacing w:line="260" w:lineRule="exact"/>
              <w:rPr>
                <w:rFonts w:ascii="宋体" w:hAnsi="宋体" w:eastAsia="宋体"/>
                <w:sz w:val="20"/>
                <w:szCs w:val="21"/>
              </w:rPr>
            </w:pPr>
            <w:r>
              <w:rPr>
                <w:rFonts w:hint="eastAsia" w:ascii="宋体" w:hAnsi="宋体" w:eastAsia="宋体"/>
                <w:sz w:val="20"/>
                <w:szCs w:val="20"/>
              </w:rPr>
              <w:t>资产评估师</w:t>
            </w:r>
          </w:p>
        </w:tc>
        <w:tc>
          <w:tcPr>
            <w:tcW w:w="1461" w:type="dxa"/>
            <w:shd w:val="clear" w:color="auto" w:fill="auto"/>
            <w:vAlign w:val="center"/>
          </w:tcPr>
          <w:p>
            <w:pPr>
              <w:spacing w:line="280" w:lineRule="exact"/>
              <w:jc w:val="center"/>
              <w:rPr>
                <w:rFonts w:ascii="宋体" w:hAnsi="宋体" w:eastAsia="宋体"/>
                <w:sz w:val="20"/>
                <w:szCs w:val="20"/>
              </w:rPr>
            </w:pPr>
            <w:r>
              <w:rPr>
                <w:rFonts w:hint="eastAsia" w:ascii="宋体" w:hAnsi="宋体" w:eastAsia="宋体"/>
                <w:sz w:val="20"/>
                <w:szCs w:val="20"/>
              </w:rPr>
              <w:t>上海国家会计学院</w:t>
            </w:r>
          </w:p>
        </w:tc>
        <w:tc>
          <w:tcPr>
            <w:tcW w:w="807" w:type="dxa"/>
            <w:shd w:val="clear" w:color="auto" w:fill="auto"/>
            <w:vAlign w:val="center"/>
          </w:tcPr>
          <w:p>
            <w:pPr>
              <w:spacing w:line="280" w:lineRule="exact"/>
              <w:jc w:val="center"/>
              <w:rPr>
                <w:rFonts w:ascii="宋体" w:hAnsi="宋体" w:eastAsia="宋体"/>
                <w:sz w:val="20"/>
                <w:szCs w:val="20"/>
              </w:rPr>
            </w:pPr>
            <w:r>
              <w:rPr>
                <w:rFonts w:hint="eastAsia" w:ascii="宋体" w:hAnsi="宋体" w:eastAsia="宋体"/>
                <w:sz w:val="20"/>
                <w:szCs w:val="20"/>
              </w:rPr>
              <w:t>3</w:t>
            </w:r>
          </w:p>
        </w:tc>
        <w:tc>
          <w:tcPr>
            <w:tcW w:w="1275" w:type="dxa"/>
            <w:shd w:val="clear" w:color="auto" w:fill="auto"/>
            <w:vAlign w:val="center"/>
          </w:tcPr>
          <w:p>
            <w:pPr>
              <w:spacing w:line="280" w:lineRule="exact"/>
              <w:jc w:val="center"/>
              <w:rPr>
                <w:rFonts w:ascii="宋体" w:hAnsi="宋体" w:eastAsia="宋体"/>
                <w:sz w:val="20"/>
                <w:szCs w:val="21"/>
              </w:rPr>
            </w:pPr>
            <w:r>
              <w:rPr>
                <w:rFonts w:hint="eastAsia" w:ascii="宋体" w:hAnsi="宋体" w:eastAsia="宋体"/>
                <w:sz w:val="20"/>
                <w:szCs w:val="21"/>
              </w:rPr>
              <w:t>面授</w:t>
            </w:r>
          </w:p>
        </w:tc>
        <w:tc>
          <w:tcPr>
            <w:tcW w:w="1843" w:type="dxa"/>
            <w:shd w:val="clear" w:color="auto" w:fill="auto"/>
            <w:vAlign w:val="center"/>
          </w:tcPr>
          <w:p>
            <w:pPr>
              <w:spacing w:line="280" w:lineRule="exact"/>
              <w:jc w:val="center"/>
              <w:rPr>
                <w:rFonts w:ascii="宋体" w:hAnsi="宋体" w:eastAsia="宋体"/>
                <w:sz w:val="20"/>
                <w:szCs w:val="21"/>
              </w:rPr>
            </w:pPr>
            <w:r>
              <w:rPr>
                <w:rFonts w:hint="eastAsia" w:ascii="宋体" w:hAnsi="宋体" w:eastAsia="宋体"/>
                <w:sz w:val="20"/>
                <w:szCs w:val="21"/>
              </w:rPr>
              <w:t>5月23-25</w:t>
            </w:r>
          </w:p>
          <w:p>
            <w:pPr>
              <w:spacing w:line="280" w:lineRule="exact"/>
              <w:jc w:val="center"/>
              <w:rPr>
                <w:rFonts w:ascii="宋体" w:hAnsi="宋体" w:eastAsia="宋体"/>
                <w:sz w:val="20"/>
                <w:szCs w:val="21"/>
              </w:rPr>
            </w:pPr>
            <w:r>
              <w:rPr>
                <w:rFonts w:hint="eastAsia" w:ascii="宋体" w:hAnsi="宋体" w:eastAsia="宋体"/>
                <w:sz w:val="2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9" w:hRule="atLeast"/>
        </w:trPr>
        <w:tc>
          <w:tcPr>
            <w:tcW w:w="852" w:type="dxa"/>
            <w:shd w:val="clear" w:color="auto" w:fill="auto"/>
            <w:vAlign w:val="center"/>
          </w:tcPr>
          <w:p>
            <w:pPr>
              <w:spacing w:line="260" w:lineRule="exact"/>
              <w:jc w:val="center"/>
              <w:rPr>
                <w:rFonts w:ascii="宋体" w:hAnsi="宋体" w:eastAsia="宋体"/>
                <w:sz w:val="20"/>
                <w:szCs w:val="20"/>
              </w:rPr>
            </w:pPr>
            <w:r>
              <w:rPr>
                <w:rFonts w:hint="eastAsia" w:ascii="宋体" w:hAnsi="宋体" w:eastAsia="宋体"/>
                <w:sz w:val="20"/>
                <w:szCs w:val="20"/>
              </w:rPr>
              <w:t>4</w:t>
            </w:r>
          </w:p>
        </w:tc>
        <w:tc>
          <w:tcPr>
            <w:tcW w:w="2450" w:type="dxa"/>
            <w:shd w:val="clear" w:color="auto" w:fill="auto"/>
            <w:vAlign w:val="center"/>
          </w:tcPr>
          <w:p>
            <w:pPr>
              <w:spacing w:line="280" w:lineRule="exact"/>
              <w:jc w:val="left"/>
              <w:rPr>
                <w:rFonts w:ascii="宋体" w:hAnsi="宋体" w:eastAsia="宋体"/>
                <w:sz w:val="20"/>
                <w:szCs w:val="21"/>
              </w:rPr>
            </w:pPr>
            <w:r>
              <w:rPr>
                <w:rFonts w:hint="eastAsia" w:ascii="宋体" w:hAnsi="宋体" w:eastAsia="宋体"/>
                <w:sz w:val="20"/>
                <w:szCs w:val="20"/>
              </w:rPr>
              <w:t>以财务报告为目的评估研讨班</w:t>
            </w:r>
          </w:p>
        </w:tc>
        <w:tc>
          <w:tcPr>
            <w:tcW w:w="4766" w:type="dxa"/>
            <w:shd w:val="clear" w:color="auto" w:fill="auto"/>
            <w:vAlign w:val="center"/>
          </w:tcPr>
          <w:p>
            <w:pPr>
              <w:spacing w:line="260" w:lineRule="exact"/>
              <w:jc w:val="left"/>
              <w:rPr>
                <w:rFonts w:ascii="宋体" w:hAnsi="宋体" w:eastAsia="宋体"/>
                <w:sz w:val="20"/>
                <w:szCs w:val="20"/>
              </w:rPr>
            </w:pPr>
            <w:r>
              <w:rPr>
                <w:rFonts w:hint="eastAsia" w:ascii="宋体" w:hAnsi="宋体" w:eastAsia="宋体"/>
                <w:sz w:val="20"/>
                <w:szCs w:val="20"/>
              </w:rPr>
              <w:t>1.公允价值计量相关会计准则介绍</w:t>
            </w:r>
          </w:p>
          <w:p>
            <w:pPr>
              <w:spacing w:line="260" w:lineRule="exact"/>
              <w:jc w:val="left"/>
              <w:rPr>
                <w:rFonts w:ascii="宋体" w:hAnsi="宋体" w:eastAsia="宋体"/>
                <w:sz w:val="20"/>
                <w:szCs w:val="20"/>
              </w:rPr>
            </w:pPr>
            <w:r>
              <w:rPr>
                <w:rFonts w:hint="eastAsia" w:ascii="宋体" w:hAnsi="宋体" w:eastAsia="宋体"/>
                <w:sz w:val="20"/>
                <w:szCs w:val="20"/>
              </w:rPr>
              <w:t>2.资产减值测试评估实务及案例讲解</w:t>
            </w:r>
          </w:p>
          <w:p>
            <w:pPr>
              <w:spacing w:line="260" w:lineRule="exact"/>
              <w:jc w:val="left"/>
              <w:rPr>
                <w:rFonts w:ascii="宋体" w:hAnsi="宋体" w:eastAsia="宋体"/>
                <w:sz w:val="20"/>
                <w:szCs w:val="20"/>
              </w:rPr>
            </w:pPr>
            <w:r>
              <w:rPr>
                <w:rFonts w:hint="eastAsia" w:ascii="宋体" w:hAnsi="宋体" w:eastAsia="宋体"/>
                <w:sz w:val="20"/>
                <w:szCs w:val="20"/>
              </w:rPr>
              <w:t>3.合并对价分摊评估实务及案例讲解</w:t>
            </w:r>
          </w:p>
          <w:p>
            <w:pPr>
              <w:adjustRightInd w:val="0"/>
              <w:snapToGrid w:val="0"/>
              <w:rPr>
                <w:rFonts w:ascii="宋体" w:hAnsi="宋体" w:eastAsia="宋体"/>
                <w:sz w:val="20"/>
                <w:szCs w:val="20"/>
              </w:rPr>
            </w:pPr>
            <w:r>
              <w:rPr>
                <w:rFonts w:hint="eastAsia" w:ascii="宋体" w:hAnsi="宋体" w:eastAsia="宋体"/>
                <w:sz w:val="20"/>
                <w:szCs w:val="20"/>
              </w:rPr>
              <w:t>4.投资性房地产公允价值评估及案例讲解</w:t>
            </w:r>
          </w:p>
          <w:p>
            <w:pPr>
              <w:adjustRightInd w:val="0"/>
              <w:snapToGrid w:val="0"/>
              <w:rPr>
                <w:rFonts w:ascii="宋体" w:hAnsi="宋体" w:eastAsia="宋体"/>
                <w:kern w:val="0"/>
                <w:sz w:val="20"/>
                <w:szCs w:val="20"/>
              </w:rPr>
            </w:pPr>
            <w:r>
              <w:rPr>
                <w:rFonts w:hint="eastAsia" w:ascii="宋体" w:hAnsi="宋体" w:eastAsia="宋体"/>
                <w:sz w:val="20"/>
                <w:szCs w:val="20"/>
              </w:rPr>
              <w:t>5.</w:t>
            </w:r>
            <w:r>
              <w:rPr>
                <w:rFonts w:hint="eastAsia" w:ascii="宋体" w:hAnsi="宋体" w:eastAsia="宋体"/>
                <w:kern w:val="0"/>
                <w:sz w:val="20"/>
                <w:szCs w:val="20"/>
              </w:rPr>
              <w:t>金融工具的会计处理与资产评估</w:t>
            </w:r>
          </w:p>
          <w:p>
            <w:pPr>
              <w:spacing w:line="260" w:lineRule="exact"/>
              <w:jc w:val="left"/>
              <w:rPr>
                <w:rFonts w:ascii="宋体" w:hAnsi="宋体" w:eastAsia="宋体"/>
                <w:sz w:val="20"/>
                <w:szCs w:val="20"/>
              </w:rPr>
            </w:pPr>
            <w:r>
              <w:rPr>
                <w:rFonts w:hint="eastAsia" w:ascii="宋体" w:hAnsi="宋体" w:eastAsia="宋体"/>
                <w:kern w:val="0"/>
                <w:sz w:val="20"/>
                <w:szCs w:val="20"/>
              </w:rPr>
              <w:t>6.</w:t>
            </w:r>
            <w:r>
              <w:rPr>
                <w:rFonts w:hint="eastAsia" w:ascii="宋体" w:hAnsi="宋体" w:eastAsia="宋体"/>
                <w:sz w:val="20"/>
                <w:szCs w:val="20"/>
              </w:rPr>
              <w:t>《资产评估专家指引第11号——商誉减值测试评估》解读</w:t>
            </w:r>
          </w:p>
        </w:tc>
        <w:tc>
          <w:tcPr>
            <w:tcW w:w="1418" w:type="dxa"/>
            <w:shd w:val="clear" w:color="auto" w:fill="auto"/>
            <w:vAlign w:val="center"/>
          </w:tcPr>
          <w:p>
            <w:pPr>
              <w:spacing w:line="260" w:lineRule="exact"/>
              <w:rPr>
                <w:rFonts w:ascii="宋体" w:hAnsi="宋体" w:eastAsia="宋体"/>
                <w:sz w:val="20"/>
                <w:szCs w:val="20"/>
              </w:rPr>
            </w:pPr>
            <w:r>
              <w:rPr>
                <w:rFonts w:hint="eastAsia" w:ascii="宋体" w:hAnsi="宋体" w:eastAsia="宋体"/>
                <w:sz w:val="20"/>
                <w:szCs w:val="20"/>
              </w:rPr>
              <w:t>资产评估师</w:t>
            </w:r>
          </w:p>
        </w:tc>
        <w:tc>
          <w:tcPr>
            <w:tcW w:w="1461" w:type="dxa"/>
            <w:shd w:val="clear" w:color="auto" w:fill="auto"/>
            <w:vAlign w:val="center"/>
          </w:tcPr>
          <w:p>
            <w:pPr>
              <w:spacing w:line="280" w:lineRule="exact"/>
              <w:jc w:val="center"/>
              <w:rPr>
                <w:rFonts w:ascii="宋体" w:hAnsi="宋体" w:eastAsia="宋体"/>
                <w:sz w:val="20"/>
                <w:szCs w:val="20"/>
              </w:rPr>
            </w:pPr>
            <w:r>
              <w:rPr>
                <w:rFonts w:hint="eastAsia" w:ascii="宋体" w:hAnsi="宋体" w:eastAsia="宋体"/>
                <w:sz w:val="20"/>
                <w:szCs w:val="20"/>
              </w:rPr>
              <w:t>北京国家会计学院</w:t>
            </w:r>
          </w:p>
        </w:tc>
        <w:tc>
          <w:tcPr>
            <w:tcW w:w="807" w:type="dxa"/>
            <w:shd w:val="clear" w:color="auto" w:fill="auto"/>
            <w:vAlign w:val="center"/>
          </w:tcPr>
          <w:p>
            <w:pPr>
              <w:spacing w:line="280" w:lineRule="exact"/>
              <w:jc w:val="center"/>
              <w:rPr>
                <w:rFonts w:ascii="宋体" w:hAnsi="宋体" w:eastAsia="宋体"/>
                <w:sz w:val="20"/>
                <w:szCs w:val="20"/>
              </w:rPr>
            </w:pPr>
            <w:r>
              <w:rPr>
                <w:rFonts w:hint="eastAsia" w:ascii="宋体" w:hAnsi="宋体" w:eastAsia="宋体"/>
                <w:sz w:val="20"/>
                <w:szCs w:val="21"/>
              </w:rPr>
              <w:t>3</w:t>
            </w:r>
          </w:p>
        </w:tc>
        <w:tc>
          <w:tcPr>
            <w:tcW w:w="1275" w:type="dxa"/>
            <w:shd w:val="clear" w:color="auto" w:fill="auto"/>
            <w:vAlign w:val="center"/>
          </w:tcPr>
          <w:p>
            <w:pPr>
              <w:spacing w:line="280" w:lineRule="exact"/>
              <w:jc w:val="center"/>
              <w:rPr>
                <w:rFonts w:ascii="宋体" w:hAnsi="宋体" w:eastAsia="宋体"/>
                <w:sz w:val="20"/>
                <w:szCs w:val="21"/>
              </w:rPr>
            </w:pPr>
            <w:r>
              <w:rPr>
                <w:rFonts w:hint="eastAsia" w:ascii="宋体" w:hAnsi="宋体" w:eastAsia="宋体"/>
                <w:sz w:val="20"/>
                <w:szCs w:val="21"/>
              </w:rPr>
              <w:t>网络直播</w:t>
            </w:r>
          </w:p>
        </w:tc>
        <w:tc>
          <w:tcPr>
            <w:tcW w:w="1843" w:type="dxa"/>
            <w:shd w:val="clear" w:color="auto" w:fill="auto"/>
            <w:vAlign w:val="center"/>
          </w:tcPr>
          <w:p>
            <w:pPr>
              <w:spacing w:line="280" w:lineRule="exact"/>
              <w:jc w:val="center"/>
              <w:rPr>
                <w:rFonts w:ascii="宋体" w:hAnsi="宋体" w:eastAsia="宋体"/>
                <w:sz w:val="20"/>
                <w:szCs w:val="20"/>
              </w:rPr>
            </w:pPr>
            <w:r>
              <w:rPr>
                <w:rFonts w:hint="eastAsia" w:ascii="宋体" w:hAnsi="宋体" w:eastAsia="宋体"/>
                <w:sz w:val="20"/>
                <w:szCs w:val="21"/>
              </w:rPr>
              <w:t>6月13-15日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7" w:hRule="atLeast"/>
        </w:trPr>
        <w:tc>
          <w:tcPr>
            <w:tcW w:w="852" w:type="dxa"/>
            <w:shd w:val="clear" w:color="auto" w:fill="auto"/>
            <w:vAlign w:val="center"/>
          </w:tcPr>
          <w:p>
            <w:pPr>
              <w:spacing w:line="260" w:lineRule="exact"/>
              <w:jc w:val="center"/>
              <w:rPr>
                <w:rFonts w:ascii="宋体" w:hAnsi="宋体" w:eastAsia="宋体"/>
                <w:sz w:val="20"/>
                <w:szCs w:val="20"/>
              </w:rPr>
            </w:pPr>
            <w:r>
              <w:rPr>
                <w:rFonts w:hint="eastAsia" w:ascii="宋体" w:hAnsi="宋体" w:eastAsia="宋体"/>
                <w:sz w:val="20"/>
                <w:szCs w:val="20"/>
              </w:rPr>
              <w:t>5</w:t>
            </w:r>
          </w:p>
        </w:tc>
        <w:tc>
          <w:tcPr>
            <w:tcW w:w="2450" w:type="dxa"/>
            <w:shd w:val="clear" w:color="auto" w:fill="auto"/>
            <w:vAlign w:val="center"/>
          </w:tcPr>
          <w:p>
            <w:pPr>
              <w:spacing w:line="280" w:lineRule="exact"/>
              <w:jc w:val="left"/>
              <w:rPr>
                <w:rFonts w:ascii="宋体" w:hAnsi="宋体" w:eastAsia="宋体"/>
                <w:sz w:val="20"/>
                <w:szCs w:val="21"/>
              </w:rPr>
            </w:pPr>
            <w:r>
              <w:rPr>
                <w:rFonts w:hint="eastAsia" w:ascii="宋体" w:hAnsi="宋体" w:eastAsia="宋体"/>
                <w:sz w:val="20"/>
                <w:szCs w:val="21"/>
              </w:rPr>
              <w:t>财政资金绩效评价与涉执财产评估研讨班</w:t>
            </w:r>
          </w:p>
        </w:tc>
        <w:tc>
          <w:tcPr>
            <w:tcW w:w="4766" w:type="dxa"/>
            <w:shd w:val="clear" w:color="auto" w:fill="auto"/>
            <w:vAlign w:val="center"/>
          </w:tcPr>
          <w:p>
            <w:pPr>
              <w:spacing w:line="280" w:lineRule="exact"/>
              <w:jc w:val="left"/>
              <w:rPr>
                <w:rFonts w:ascii="宋体" w:hAnsi="宋体" w:eastAsia="宋体"/>
                <w:sz w:val="20"/>
                <w:szCs w:val="20"/>
              </w:rPr>
            </w:pPr>
            <w:r>
              <w:rPr>
                <w:rFonts w:hint="eastAsia" w:ascii="宋体" w:hAnsi="宋体" w:eastAsia="宋体"/>
                <w:sz w:val="20"/>
                <w:szCs w:val="20"/>
              </w:rPr>
              <w:t>1.涉执财产评估相关政策解读</w:t>
            </w:r>
          </w:p>
          <w:p>
            <w:pPr>
              <w:spacing w:line="280" w:lineRule="exact"/>
              <w:jc w:val="left"/>
              <w:rPr>
                <w:rFonts w:ascii="宋体" w:hAnsi="宋体" w:eastAsia="宋体"/>
                <w:sz w:val="20"/>
                <w:szCs w:val="20"/>
              </w:rPr>
            </w:pPr>
            <w:r>
              <w:rPr>
                <w:rFonts w:hint="eastAsia" w:ascii="宋体" w:hAnsi="宋体" w:eastAsia="宋体"/>
                <w:sz w:val="20"/>
                <w:szCs w:val="20"/>
              </w:rPr>
              <w:t>2.《人民法院委托司法执行财产处置资产评估指导意见》解读</w:t>
            </w:r>
          </w:p>
          <w:p>
            <w:pPr>
              <w:spacing w:line="280" w:lineRule="exact"/>
              <w:jc w:val="left"/>
              <w:rPr>
                <w:rFonts w:ascii="宋体" w:hAnsi="宋体" w:eastAsia="宋体"/>
                <w:sz w:val="20"/>
                <w:szCs w:val="20"/>
              </w:rPr>
            </w:pPr>
            <w:r>
              <w:rPr>
                <w:rFonts w:hint="eastAsia" w:ascii="宋体" w:hAnsi="宋体" w:eastAsia="宋体"/>
                <w:sz w:val="20"/>
                <w:szCs w:val="20"/>
              </w:rPr>
              <w:t>3.涉执财产评估事项及案例分析</w:t>
            </w:r>
          </w:p>
          <w:p>
            <w:pPr>
              <w:spacing w:line="280" w:lineRule="exact"/>
              <w:jc w:val="left"/>
              <w:rPr>
                <w:rFonts w:ascii="宋体" w:hAnsi="宋体" w:eastAsia="宋体"/>
                <w:sz w:val="20"/>
                <w:szCs w:val="20"/>
              </w:rPr>
            </w:pPr>
            <w:r>
              <w:rPr>
                <w:rFonts w:hint="eastAsia" w:ascii="宋体" w:hAnsi="宋体" w:eastAsia="宋体"/>
                <w:sz w:val="20"/>
                <w:szCs w:val="20"/>
              </w:rPr>
              <w:t>4.涉执财产评估特殊要求及风险分析</w:t>
            </w:r>
          </w:p>
          <w:p>
            <w:pPr>
              <w:spacing w:line="280" w:lineRule="exact"/>
              <w:jc w:val="left"/>
              <w:rPr>
                <w:rFonts w:ascii="宋体" w:hAnsi="宋体" w:eastAsia="宋体"/>
                <w:sz w:val="20"/>
                <w:szCs w:val="20"/>
              </w:rPr>
            </w:pPr>
            <w:r>
              <w:rPr>
                <w:rFonts w:hint="eastAsia" w:ascii="宋体" w:hAnsi="宋体" w:eastAsia="宋体"/>
                <w:sz w:val="20"/>
                <w:szCs w:val="20"/>
              </w:rPr>
              <w:t>5.财政资金绩效评价制度</w:t>
            </w:r>
          </w:p>
          <w:p>
            <w:pPr>
              <w:spacing w:line="280" w:lineRule="exact"/>
              <w:jc w:val="left"/>
              <w:rPr>
                <w:rFonts w:ascii="宋体" w:hAnsi="宋体" w:eastAsia="宋体"/>
                <w:sz w:val="20"/>
                <w:szCs w:val="20"/>
              </w:rPr>
            </w:pPr>
            <w:r>
              <w:rPr>
                <w:rFonts w:hint="eastAsia" w:ascii="宋体" w:hAnsi="宋体" w:eastAsia="宋体"/>
                <w:sz w:val="20"/>
                <w:szCs w:val="20"/>
              </w:rPr>
              <w:t>6.预算绩效评价政策解读</w:t>
            </w:r>
          </w:p>
          <w:p>
            <w:pPr>
              <w:spacing w:line="280" w:lineRule="exact"/>
              <w:jc w:val="left"/>
              <w:rPr>
                <w:rFonts w:ascii="宋体" w:hAnsi="宋体" w:eastAsia="宋体"/>
                <w:sz w:val="20"/>
                <w:szCs w:val="20"/>
              </w:rPr>
            </w:pPr>
            <w:r>
              <w:rPr>
                <w:rFonts w:hint="eastAsia" w:ascii="宋体" w:hAnsi="宋体" w:eastAsia="宋体"/>
                <w:sz w:val="20"/>
                <w:szCs w:val="20"/>
              </w:rPr>
              <w:t>7.绩效目标管理与指标体系构建实务及案例</w:t>
            </w:r>
          </w:p>
          <w:p>
            <w:pPr>
              <w:spacing w:line="280" w:lineRule="exact"/>
              <w:jc w:val="left"/>
              <w:rPr>
                <w:rFonts w:ascii="宋体" w:hAnsi="宋体" w:eastAsia="宋体"/>
                <w:sz w:val="20"/>
                <w:szCs w:val="20"/>
              </w:rPr>
            </w:pPr>
            <w:r>
              <w:rPr>
                <w:rFonts w:hint="eastAsia" w:ascii="宋体" w:hAnsi="宋体" w:eastAsia="宋体"/>
                <w:sz w:val="20"/>
                <w:szCs w:val="20"/>
              </w:rPr>
              <w:t>8.项目支出绩效评价实务及案例</w:t>
            </w:r>
          </w:p>
          <w:p>
            <w:pPr>
              <w:spacing w:line="260" w:lineRule="exact"/>
              <w:rPr>
                <w:rFonts w:ascii="宋体" w:hAnsi="宋体" w:eastAsia="宋体"/>
                <w:sz w:val="20"/>
                <w:szCs w:val="20"/>
              </w:rPr>
            </w:pPr>
            <w:r>
              <w:rPr>
                <w:rFonts w:hint="eastAsia" w:ascii="宋体" w:hAnsi="宋体" w:eastAsia="宋体"/>
                <w:sz w:val="20"/>
                <w:szCs w:val="20"/>
              </w:rPr>
              <w:t>9.部门整体与政策绩效评价实务与案例</w:t>
            </w:r>
          </w:p>
        </w:tc>
        <w:tc>
          <w:tcPr>
            <w:tcW w:w="1418" w:type="dxa"/>
            <w:shd w:val="clear" w:color="auto" w:fill="auto"/>
            <w:vAlign w:val="center"/>
          </w:tcPr>
          <w:p>
            <w:pPr>
              <w:spacing w:line="260" w:lineRule="exact"/>
              <w:rPr>
                <w:rFonts w:ascii="宋体" w:hAnsi="宋体" w:eastAsia="宋体"/>
                <w:sz w:val="20"/>
                <w:szCs w:val="21"/>
              </w:rPr>
            </w:pPr>
            <w:r>
              <w:rPr>
                <w:rFonts w:hint="eastAsia" w:ascii="宋体" w:hAnsi="宋体" w:eastAsia="宋体"/>
                <w:sz w:val="20"/>
                <w:szCs w:val="20"/>
              </w:rPr>
              <w:t>资产评估师</w:t>
            </w:r>
          </w:p>
        </w:tc>
        <w:tc>
          <w:tcPr>
            <w:tcW w:w="1461" w:type="dxa"/>
            <w:shd w:val="clear" w:color="auto" w:fill="auto"/>
            <w:vAlign w:val="center"/>
          </w:tcPr>
          <w:p>
            <w:pPr>
              <w:spacing w:line="280" w:lineRule="exact"/>
              <w:jc w:val="center"/>
              <w:rPr>
                <w:rFonts w:ascii="宋体" w:hAnsi="宋体" w:eastAsia="宋体"/>
                <w:sz w:val="20"/>
                <w:szCs w:val="20"/>
              </w:rPr>
            </w:pPr>
            <w:r>
              <w:rPr>
                <w:rFonts w:hint="eastAsia" w:ascii="宋体" w:hAnsi="宋体" w:eastAsia="宋体"/>
                <w:sz w:val="20"/>
                <w:szCs w:val="20"/>
              </w:rPr>
              <w:t>厦门国家会计学院</w:t>
            </w:r>
          </w:p>
        </w:tc>
        <w:tc>
          <w:tcPr>
            <w:tcW w:w="807" w:type="dxa"/>
            <w:shd w:val="clear" w:color="auto" w:fill="auto"/>
            <w:vAlign w:val="center"/>
          </w:tcPr>
          <w:p>
            <w:pPr>
              <w:spacing w:line="280" w:lineRule="exact"/>
              <w:jc w:val="center"/>
              <w:rPr>
                <w:rFonts w:ascii="宋体" w:hAnsi="宋体" w:eastAsia="宋体"/>
                <w:sz w:val="20"/>
                <w:szCs w:val="20"/>
              </w:rPr>
            </w:pPr>
            <w:r>
              <w:rPr>
                <w:rFonts w:hint="eastAsia" w:ascii="宋体" w:hAnsi="宋体" w:eastAsia="宋体"/>
                <w:sz w:val="20"/>
                <w:szCs w:val="20"/>
              </w:rPr>
              <w:t>3</w:t>
            </w:r>
          </w:p>
        </w:tc>
        <w:tc>
          <w:tcPr>
            <w:tcW w:w="1275" w:type="dxa"/>
            <w:shd w:val="clear" w:color="auto" w:fill="auto"/>
            <w:vAlign w:val="center"/>
          </w:tcPr>
          <w:p>
            <w:pPr>
              <w:spacing w:line="280" w:lineRule="exact"/>
              <w:jc w:val="center"/>
              <w:rPr>
                <w:rFonts w:ascii="宋体" w:hAnsi="宋体" w:eastAsia="宋体"/>
                <w:sz w:val="20"/>
                <w:szCs w:val="21"/>
              </w:rPr>
            </w:pPr>
            <w:r>
              <w:rPr>
                <w:rFonts w:hint="eastAsia" w:ascii="宋体" w:hAnsi="宋体" w:eastAsia="宋体"/>
                <w:sz w:val="20"/>
                <w:szCs w:val="21"/>
              </w:rPr>
              <w:t>面授</w:t>
            </w:r>
          </w:p>
        </w:tc>
        <w:tc>
          <w:tcPr>
            <w:tcW w:w="1843" w:type="dxa"/>
            <w:shd w:val="clear" w:color="auto" w:fill="auto"/>
            <w:vAlign w:val="center"/>
          </w:tcPr>
          <w:p>
            <w:pPr>
              <w:spacing w:line="280" w:lineRule="exact"/>
              <w:jc w:val="center"/>
              <w:rPr>
                <w:rFonts w:ascii="宋体" w:hAnsi="宋体" w:eastAsia="宋体"/>
                <w:sz w:val="20"/>
                <w:szCs w:val="21"/>
              </w:rPr>
            </w:pPr>
            <w:r>
              <w:rPr>
                <w:rFonts w:hint="eastAsia" w:ascii="宋体" w:hAnsi="宋体" w:eastAsia="宋体"/>
                <w:sz w:val="20"/>
                <w:szCs w:val="20"/>
              </w:rPr>
              <w:t>6月27-29日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blHeader/>
        </w:trPr>
        <w:tc>
          <w:tcPr>
            <w:tcW w:w="852" w:type="dxa"/>
            <w:shd w:val="clear" w:color="auto" w:fill="auto"/>
            <w:vAlign w:val="center"/>
          </w:tcPr>
          <w:p>
            <w:pPr>
              <w:spacing w:line="276" w:lineRule="auto"/>
              <w:jc w:val="center"/>
              <w:rPr>
                <w:rFonts w:ascii="宋体" w:hAnsi="宋体"/>
                <w:b/>
                <w:sz w:val="24"/>
                <w:szCs w:val="24"/>
              </w:rPr>
            </w:pPr>
            <w:r>
              <w:rPr>
                <w:rFonts w:hint="eastAsia" w:ascii="宋体" w:hAnsi="宋体"/>
                <w:b/>
                <w:sz w:val="24"/>
                <w:szCs w:val="24"/>
              </w:rPr>
              <w:t>序号</w:t>
            </w:r>
          </w:p>
        </w:tc>
        <w:tc>
          <w:tcPr>
            <w:tcW w:w="2450" w:type="dxa"/>
            <w:shd w:val="clear" w:color="auto" w:fill="auto"/>
            <w:vAlign w:val="center"/>
          </w:tcPr>
          <w:p>
            <w:pPr>
              <w:spacing w:line="276" w:lineRule="auto"/>
              <w:jc w:val="center"/>
              <w:rPr>
                <w:rFonts w:ascii="宋体" w:hAnsi="宋体"/>
                <w:b/>
                <w:sz w:val="24"/>
                <w:szCs w:val="24"/>
              </w:rPr>
            </w:pPr>
            <w:r>
              <w:rPr>
                <w:rFonts w:hint="eastAsia" w:ascii="宋体" w:hAnsi="宋体"/>
                <w:b/>
                <w:sz w:val="24"/>
                <w:szCs w:val="24"/>
              </w:rPr>
              <w:t>培训（研讨）班名称</w:t>
            </w:r>
          </w:p>
        </w:tc>
        <w:tc>
          <w:tcPr>
            <w:tcW w:w="4766" w:type="dxa"/>
            <w:shd w:val="clear" w:color="auto" w:fill="auto"/>
            <w:vAlign w:val="center"/>
          </w:tcPr>
          <w:p>
            <w:pPr>
              <w:spacing w:line="276" w:lineRule="auto"/>
              <w:jc w:val="center"/>
              <w:rPr>
                <w:rFonts w:ascii="宋体" w:hAnsi="宋体"/>
                <w:b/>
                <w:sz w:val="24"/>
                <w:szCs w:val="24"/>
              </w:rPr>
            </w:pPr>
            <w:r>
              <w:rPr>
                <w:rFonts w:hint="eastAsia" w:ascii="宋体" w:hAnsi="宋体"/>
                <w:b/>
                <w:sz w:val="24"/>
                <w:szCs w:val="24"/>
              </w:rPr>
              <w:t>培训内容</w:t>
            </w:r>
          </w:p>
        </w:tc>
        <w:tc>
          <w:tcPr>
            <w:tcW w:w="1418" w:type="dxa"/>
            <w:shd w:val="clear" w:color="auto" w:fill="auto"/>
            <w:vAlign w:val="center"/>
          </w:tcPr>
          <w:p>
            <w:pPr>
              <w:spacing w:line="276" w:lineRule="auto"/>
              <w:jc w:val="center"/>
              <w:rPr>
                <w:rFonts w:ascii="宋体" w:hAnsi="宋体"/>
                <w:b/>
                <w:sz w:val="24"/>
                <w:szCs w:val="24"/>
              </w:rPr>
            </w:pPr>
            <w:r>
              <w:rPr>
                <w:rFonts w:hint="eastAsia" w:ascii="宋体" w:hAnsi="宋体"/>
                <w:b/>
                <w:sz w:val="24"/>
                <w:szCs w:val="24"/>
              </w:rPr>
              <w:t>培训对象</w:t>
            </w:r>
          </w:p>
        </w:tc>
        <w:tc>
          <w:tcPr>
            <w:tcW w:w="1461" w:type="dxa"/>
            <w:shd w:val="clear" w:color="auto" w:fill="auto"/>
            <w:vAlign w:val="center"/>
          </w:tcPr>
          <w:p>
            <w:pPr>
              <w:spacing w:line="276" w:lineRule="auto"/>
              <w:jc w:val="center"/>
              <w:rPr>
                <w:rFonts w:ascii="宋体" w:hAnsi="宋体"/>
                <w:b/>
                <w:sz w:val="24"/>
                <w:szCs w:val="24"/>
              </w:rPr>
            </w:pPr>
            <w:r>
              <w:rPr>
                <w:rFonts w:hint="eastAsia" w:ascii="宋体" w:hAnsi="宋体"/>
                <w:b/>
                <w:sz w:val="24"/>
                <w:szCs w:val="24"/>
              </w:rPr>
              <w:t>地点</w:t>
            </w:r>
          </w:p>
        </w:tc>
        <w:tc>
          <w:tcPr>
            <w:tcW w:w="807" w:type="dxa"/>
            <w:shd w:val="clear" w:color="auto" w:fill="auto"/>
            <w:vAlign w:val="center"/>
          </w:tcPr>
          <w:p>
            <w:pPr>
              <w:spacing w:line="276" w:lineRule="auto"/>
              <w:jc w:val="center"/>
              <w:rPr>
                <w:rFonts w:ascii="宋体" w:hAnsi="宋体"/>
                <w:b/>
                <w:sz w:val="24"/>
                <w:szCs w:val="24"/>
              </w:rPr>
            </w:pPr>
            <w:r>
              <w:rPr>
                <w:rFonts w:hint="eastAsia" w:ascii="宋体" w:hAnsi="宋体"/>
                <w:b/>
                <w:sz w:val="24"/>
                <w:szCs w:val="24"/>
              </w:rPr>
              <w:t>天数</w:t>
            </w:r>
          </w:p>
        </w:tc>
        <w:tc>
          <w:tcPr>
            <w:tcW w:w="1275" w:type="dxa"/>
            <w:shd w:val="clear" w:color="auto" w:fill="auto"/>
            <w:vAlign w:val="center"/>
          </w:tcPr>
          <w:p>
            <w:pPr>
              <w:spacing w:line="276" w:lineRule="auto"/>
              <w:jc w:val="center"/>
              <w:rPr>
                <w:rFonts w:ascii="宋体" w:hAnsi="宋体"/>
                <w:b/>
                <w:sz w:val="24"/>
                <w:szCs w:val="24"/>
              </w:rPr>
            </w:pPr>
            <w:r>
              <w:rPr>
                <w:rFonts w:hint="eastAsia" w:ascii="宋体" w:hAnsi="宋体"/>
                <w:b/>
                <w:sz w:val="24"/>
                <w:szCs w:val="24"/>
              </w:rPr>
              <w:t>培训方式</w:t>
            </w:r>
          </w:p>
        </w:tc>
        <w:tc>
          <w:tcPr>
            <w:tcW w:w="1843" w:type="dxa"/>
            <w:shd w:val="clear" w:color="auto" w:fill="auto"/>
            <w:vAlign w:val="center"/>
          </w:tcPr>
          <w:p>
            <w:pPr>
              <w:spacing w:line="276" w:lineRule="auto"/>
              <w:jc w:val="center"/>
              <w:rPr>
                <w:rFonts w:ascii="宋体" w:hAnsi="宋体"/>
                <w:b/>
                <w:sz w:val="24"/>
                <w:szCs w:val="24"/>
              </w:rPr>
            </w:pPr>
            <w:r>
              <w:rPr>
                <w:rFonts w:hint="eastAsia" w:ascii="宋体" w:hAnsi="宋体"/>
                <w:b/>
                <w:sz w:val="24"/>
                <w:szCs w:val="24"/>
              </w:rPr>
              <w:t>预计培训时间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4" w:hRule="atLeast"/>
        </w:trPr>
        <w:tc>
          <w:tcPr>
            <w:tcW w:w="852" w:type="dxa"/>
            <w:shd w:val="clear" w:color="auto" w:fill="auto"/>
            <w:vAlign w:val="center"/>
          </w:tcPr>
          <w:p>
            <w:pPr>
              <w:spacing w:line="260" w:lineRule="exact"/>
              <w:jc w:val="center"/>
              <w:rPr>
                <w:rFonts w:ascii="宋体" w:hAnsi="宋体" w:eastAsia="宋体"/>
                <w:sz w:val="20"/>
                <w:szCs w:val="20"/>
              </w:rPr>
            </w:pPr>
            <w:r>
              <w:rPr>
                <w:rFonts w:hint="eastAsia" w:ascii="宋体" w:hAnsi="宋体" w:eastAsia="宋体"/>
                <w:sz w:val="20"/>
                <w:szCs w:val="20"/>
              </w:rPr>
              <w:t>6</w:t>
            </w:r>
          </w:p>
        </w:tc>
        <w:tc>
          <w:tcPr>
            <w:tcW w:w="2450" w:type="dxa"/>
            <w:shd w:val="clear" w:color="auto" w:fill="auto"/>
            <w:vAlign w:val="center"/>
          </w:tcPr>
          <w:p>
            <w:pPr>
              <w:spacing w:line="280" w:lineRule="exact"/>
              <w:jc w:val="left"/>
              <w:rPr>
                <w:rFonts w:ascii="宋体" w:hAnsi="宋体" w:eastAsia="宋体"/>
                <w:sz w:val="20"/>
                <w:szCs w:val="21"/>
              </w:rPr>
            </w:pPr>
            <w:r>
              <w:rPr>
                <w:rFonts w:hint="eastAsia" w:ascii="宋体" w:hAnsi="宋体" w:eastAsia="宋体"/>
                <w:sz w:val="20"/>
                <w:szCs w:val="21"/>
              </w:rPr>
              <w:t>企业价值评估研讨班</w:t>
            </w:r>
          </w:p>
        </w:tc>
        <w:tc>
          <w:tcPr>
            <w:tcW w:w="4766" w:type="dxa"/>
            <w:shd w:val="clear" w:color="auto" w:fill="auto"/>
            <w:vAlign w:val="center"/>
          </w:tcPr>
          <w:p>
            <w:pPr>
              <w:spacing w:line="260" w:lineRule="exact"/>
              <w:jc w:val="left"/>
              <w:rPr>
                <w:rFonts w:ascii="宋体" w:hAnsi="宋体" w:eastAsia="宋体"/>
                <w:sz w:val="20"/>
                <w:szCs w:val="20"/>
              </w:rPr>
            </w:pPr>
            <w:r>
              <w:rPr>
                <w:rFonts w:hint="eastAsia" w:ascii="宋体" w:hAnsi="宋体" w:eastAsia="宋体"/>
                <w:sz w:val="20"/>
                <w:szCs w:val="20"/>
              </w:rPr>
              <w:t>1.运用资产基础法评估企业价值的重点难点问题</w:t>
            </w:r>
          </w:p>
          <w:p>
            <w:pPr>
              <w:spacing w:line="260" w:lineRule="exact"/>
              <w:jc w:val="left"/>
              <w:rPr>
                <w:rFonts w:ascii="宋体" w:hAnsi="宋体" w:eastAsia="宋体"/>
                <w:sz w:val="20"/>
                <w:szCs w:val="20"/>
              </w:rPr>
            </w:pPr>
            <w:r>
              <w:rPr>
                <w:rFonts w:hint="eastAsia" w:ascii="宋体" w:hAnsi="宋体" w:eastAsia="宋体"/>
                <w:sz w:val="20"/>
                <w:szCs w:val="20"/>
              </w:rPr>
              <w:t>2.运用收益法评估企业价值的重点难点问题</w:t>
            </w:r>
          </w:p>
          <w:p>
            <w:pPr>
              <w:spacing w:line="260" w:lineRule="exact"/>
              <w:jc w:val="left"/>
              <w:rPr>
                <w:rFonts w:ascii="宋体" w:hAnsi="宋体" w:eastAsia="宋体"/>
                <w:sz w:val="20"/>
                <w:szCs w:val="20"/>
              </w:rPr>
            </w:pPr>
            <w:r>
              <w:rPr>
                <w:rFonts w:hint="eastAsia" w:ascii="宋体" w:hAnsi="宋体" w:eastAsia="宋体"/>
                <w:sz w:val="20"/>
                <w:szCs w:val="20"/>
              </w:rPr>
              <w:t>3.运用市场法评估企业价值的重点难点问题</w:t>
            </w:r>
          </w:p>
          <w:p>
            <w:pPr>
              <w:spacing w:line="260" w:lineRule="exact"/>
              <w:jc w:val="left"/>
              <w:rPr>
                <w:rFonts w:ascii="宋体" w:hAnsi="宋体" w:eastAsia="宋体"/>
                <w:sz w:val="20"/>
                <w:szCs w:val="20"/>
              </w:rPr>
            </w:pPr>
            <w:r>
              <w:rPr>
                <w:rFonts w:hint="eastAsia" w:ascii="宋体" w:hAnsi="宋体" w:eastAsia="宋体"/>
                <w:sz w:val="20"/>
                <w:szCs w:val="20"/>
              </w:rPr>
              <w:t>4.企业价值评估增减值所得税问题分析</w:t>
            </w:r>
          </w:p>
          <w:p>
            <w:pPr>
              <w:adjustRightInd w:val="0"/>
              <w:snapToGrid w:val="0"/>
              <w:rPr>
                <w:rFonts w:ascii="宋体" w:hAnsi="宋体" w:eastAsia="宋体"/>
                <w:sz w:val="20"/>
                <w:szCs w:val="20"/>
              </w:rPr>
            </w:pPr>
            <w:r>
              <w:rPr>
                <w:rFonts w:hint="eastAsia" w:ascii="宋体" w:hAnsi="宋体" w:eastAsia="宋体"/>
                <w:sz w:val="20"/>
                <w:szCs w:val="20"/>
              </w:rPr>
              <w:t>5.《资产评估专家指引第12号——收益法评估企业价值中折现率的测算》解读</w:t>
            </w:r>
          </w:p>
          <w:p>
            <w:pPr>
              <w:spacing w:line="260" w:lineRule="exact"/>
              <w:jc w:val="left"/>
              <w:rPr>
                <w:rFonts w:ascii="宋体" w:hAnsi="宋体" w:eastAsia="宋体"/>
                <w:sz w:val="20"/>
                <w:szCs w:val="20"/>
              </w:rPr>
            </w:pPr>
            <w:r>
              <w:rPr>
                <w:rFonts w:hint="eastAsia" w:ascii="宋体" w:hAnsi="宋体" w:eastAsia="宋体"/>
                <w:sz w:val="20"/>
                <w:szCs w:val="20"/>
              </w:rPr>
              <w:t>6.《资产评估专家指引第14号——科创企业资产评估》解读</w:t>
            </w:r>
          </w:p>
          <w:p>
            <w:pPr>
              <w:adjustRightInd w:val="0"/>
              <w:snapToGrid w:val="0"/>
              <w:rPr>
                <w:rFonts w:ascii="宋体" w:hAnsi="宋体" w:eastAsia="宋体"/>
                <w:sz w:val="20"/>
                <w:szCs w:val="20"/>
              </w:rPr>
            </w:pPr>
            <w:r>
              <w:rPr>
                <w:rFonts w:hint="eastAsia" w:ascii="宋体" w:hAnsi="宋体" w:eastAsia="宋体"/>
                <w:sz w:val="20"/>
                <w:szCs w:val="20"/>
              </w:rPr>
              <w:t>7.环境，社会责任和公司治理（ESG）对企业价值评估影响</w:t>
            </w:r>
          </w:p>
        </w:tc>
        <w:tc>
          <w:tcPr>
            <w:tcW w:w="1418" w:type="dxa"/>
            <w:shd w:val="clear" w:color="auto" w:fill="auto"/>
            <w:vAlign w:val="center"/>
          </w:tcPr>
          <w:p>
            <w:pPr>
              <w:spacing w:line="260" w:lineRule="exact"/>
              <w:rPr>
                <w:rFonts w:ascii="宋体" w:hAnsi="宋体" w:eastAsia="宋体"/>
                <w:sz w:val="20"/>
                <w:szCs w:val="20"/>
              </w:rPr>
            </w:pPr>
            <w:r>
              <w:rPr>
                <w:rFonts w:hint="eastAsia" w:ascii="宋体" w:hAnsi="宋体" w:eastAsia="宋体"/>
                <w:sz w:val="20"/>
                <w:szCs w:val="20"/>
              </w:rPr>
              <w:t>资产评估师</w:t>
            </w:r>
          </w:p>
        </w:tc>
        <w:tc>
          <w:tcPr>
            <w:tcW w:w="1461" w:type="dxa"/>
            <w:shd w:val="clear" w:color="auto" w:fill="auto"/>
            <w:vAlign w:val="center"/>
          </w:tcPr>
          <w:p>
            <w:pPr>
              <w:spacing w:line="280" w:lineRule="exact"/>
              <w:jc w:val="center"/>
              <w:rPr>
                <w:rFonts w:ascii="宋体" w:hAnsi="宋体" w:eastAsia="宋体"/>
                <w:sz w:val="20"/>
                <w:szCs w:val="20"/>
              </w:rPr>
            </w:pPr>
            <w:r>
              <w:rPr>
                <w:rFonts w:hint="eastAsia" w:ascii="宋体" w:hAnsi="宋体" w:eastAsia="宋体"/>
                <w:sz w:val="20"/>
                <w:szCs w:val="20"/>
              </w:rPr>
              <w:t>北京国家会计学院</w:t>
            </w:r>
          </w:p>
        </w:tc>
        <w:tc>
          <w:tcPr>
            <w:tcW w:w="807" w:type="dxa"/>
            <w:shd w:val="clear" w:color="auto" w:fill="auto"/>
            <w:vAlign w:val="center"/>
          </w:tcPr>
          <w:p>
            <w:pPr>
              <w:spacing w:line="280" w:lineRule="exact"/>
              <w:jc w:val="center"/>
              <w:rPr>
                <w:rFonts w:ascii="宋体" w:hAnsi="宋体" w:eastAsia="宋体"/>
                <w:sz w:val="20"/>
                <w:szCs w:val="20"/>
              </w:rPr>
            </w:pPr>
            <w:r>
              <w:rPr>
                <w:rFonts w:hint="eastAsia" w:ascii="宋体" w:hAnsi="宋体" w:eastAsia="宋体"/>
                <w:sz w:val="20"/>
                <w:szCs w:val="20"/>
              </w:rPr>
              <w:t>3</w:t>
            </w:r>
          </w:p>
        </w:tc>
        <w:tc>
          <w:tcPr>
            <w:tcW w:w="1275" w:type="dxa"/>
            <w:shd w:val="clear" w:color="auto" w:fill="auto"/>
            <w:vAlign w:val="center"/>
          </w:tcPr>
          <w:p>
            <w:pPr>
              <w:spacing w:line="280" w:lineRule="exact"/>
              <w:jc w:val="center"/>
              <w:rPr>
                <w:rFonts w:ascii="宋体" w:hAnsi="宋体" w:eastAsia="宋体"/>
                <w:sz w:val="20"/>
                <w:szCs w:val="21"/>
              </w:rPr>
            </w:pPr>
            <w:r>
              <w:rPr>
                <w:rFonts w:hint="eastAsia" w:ascii="宋体" w:hAnsi="宋体" w:eastAsia="宋体"/>
                <w:sz w:val="20"/>
                <w:szCs w:val="21"/>
              </w:rPr>
              <w:t>面授</w:t>
            </w:r>
          </w:p>
        </w:tc>
        <w:tc>
          <w:tcPr>
            <w:tcW w:w="1843" w:type="dxa"/>
            <w:shd w:val="clear" w:color="auto" w:fill="auto"/>
            <w:vAlign w:val="center"/>
          </w:tcPr>
          <w:p>
            <w:pPr>
              <w:spacing w:line="280" w:lineRule="exact"/>
              <w:jc w:val="center"/>
              <w:rPr>
                <w:rFonts w:ascii="宋体" w:hAnsi="宋体" w:eastAsia="宋体"/>
                <w:sz w:val="20"/>
                <w:szCs w:val="20"/>
              </w:rPr>
            </w:pPr>
            <w:r>
              <w:rPr>
                <w:rFonts w:hint="eastAsia" w:ascii="宋体" w:hAnsi="宋体" w:eastAsia="宋体"/>
                <w:sz w:val="20"/>
                <w:szCs w:val="20"/>
              </w:rPr>
              <w:t>7月5-7日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1" w:hRule="atLeast"/>
        </w:trPr>
        <w:tc>
          <w:tcPr>
            <w:tcW w:w="852" w:type="dxa"/>
            <w:shd w:val="clear" w:color="auto" w:fill="auto"/>
            <w:vAlign w:val="center"/>
          </w:tcPr>
          <w:p>
            <w:pPr>
              <w:spacing w:line="260" w:lineRule="exact"/>
              <w:jc w:val="center"/>
              <w:rPr>
                <w:rFonts w:ascii="宋体" w:hAnsi="宋体" w:eastAsia="宋体"/>
                <w:sz w:val="20"/>
                <w:szCs w:val="20"/>
              </w:rPr>
            </w:pPr>
            <w:r>
              <w:rPr>
                <w:rFonts w:hint="eastAsia" w:ascii="宋体" w:hAnsi="宋体" w:eastAsia="宋体"/>
                <w:sz w:val="20"/>
                <w:szCs w:val="20"/>
              </w:rPr>
              <w:t>7</w:t>
            </w:r>
          </w:p>
        </w:tc>
        <w:tc>
          <w:tcPr>
            <w:tcW w:w="2450" w:type="dxa"/>
            <w:shd w:val="clear" w:color="auto" w:fill="auto"/>
            <w:vAlign w:val="center"/>
          </w:tcPr>
          <w:p>
            <w:pPr>
              <w:spacing w:line="280" w:lineRule="exact"/>
              <w:jc w:val="left"/>
              <w:rPr>
                <w:rFonts w:ascii="宋体" w:hAnsi="宋体" w:eastAsia="宋体"/>
                <w:sz w:val="20"/>
                <w:szCs w:val="21"/>
              </w:rPr>
            </w:pPr>
            <w:r>
              <w:rPr>
                <w:rFonts w:hint="eastAsia" w:ascii="宋体" w:hAnsi="宋体" w:eastAsia="宋体"/>
                <w:sz w:val="20"/>
                <w:szCs w:val="21"/>
              </w:rPr>
              <w:t>西部地区（宁夏）业务骨干培训班</w:t>
            </w:r>
          </w:p>
        </w:tc>
        <w:tc>
          <w:tcPr>
            <w:tcW w:w="4766" w:type="dxa"/>
            <w:shd w:val="clear" w:color="auto" w:fill="auto"/>
            <w:vAlign w:val="center"/>
          </w:tcPr>
          <w:p>
            <w:pPr>
              <w:adjustRightInd w:val="0"/>
              <w:snapToGrid w:val="0"/>
              <w:rPr>
                <w:rFonts w:ascii="宋体" w:hAnsi="宋体" w:eastAsia="宋体"/>
                <w:sz w:val="20"/>
                <w:szCs w:val="21"/>
              </w:rPr>
            </w:pPr>
            <w:r>
              <w:rPr>
                <w:rFonts w:hint="eastAsia" w:ascii="宋体" w:hAnsi="宋体" w:eastAsia="宋体"/>
                <w:sz w:val="20"/>
                <w:szCs w:val="21"/>
              </w:rPr>
              <w:t>1.国有资产评估报告审核实务</w:t>
            </w:r>
          </w:p>
          <w:p>
            <w:pPr>
              <w:adjustRightInd w:val="0"/>
              <w:snapToGrid w:val="0"/>
              <w:rPr>
                <w:rFonts w:ascii="宋体" w:hAnsi="宋体" w:eastAsia="宋体"/>
                <w:sz w:val="20"/>
                <w:szCs w:val="21"/>
              </w:rPr>
            </w:pPr>
            <w:r>
              <w:rPr>
                <w:rFonts w:hint="eastAsia" w:ascii="宋体" w:hAnsi="宋体" w:eastAsia="宋体"/>
                <w:sz w:val="20"/>
                <w:szCs w:val="21"/>
              </w:rPr>
              <w:t>2.资产评估法律责任与案例分析</w:t>
            </w:r>
          </w:p>
          <w:p>
            <w:pPr>
              <w:adjustRightInd w:val="0"/>
              <w:snapToGrid w:val="0"/>
              <w:rPr>
                <w:rFonts w:ascii="宋体" w:hAnsi="宋体" w:eastAsia="宋体"/>
                <w:sz w:val="20"/>
                <w:szCs w:val="21"/>
              </w:rPr>
            </w:pPr>
            <w:r>
              <w:rPr>
                <w:rFonts w:hint="eastAsia" w:ascii="宋体" w:hAnsi="宋体" w:eastAsia="宋体"/>
                <w:sz w:val="20"/>
                <w:szCs w:val="21"/>
              </w:rPr>
              <w:t>3.财政支出绩效评价政策与实务</w:t>
            </w:r>
          </w:p>
          <w:p>
            <w:pPr>
              <w:spacing w:line="260" w:lineRule="exact"/>
              <w:rPr>
                <w:rFonts w:ascii="宋体" w:hAnsi="宋体" w:eastAsia="宋体"/>
                <w:sz w:val="20"/>
                <w:szCs w:val="20"/>
              </w:rPr>
            </w:pPr>
            <w:r>
              <w:rPr>
                <w:rFonts w:hint="eastAsia" w:ascii="宋体" w:hAnsi="宋体" w:eastAsia="宋体"/>
                <w:sz w:val="20"/>
                <w:szCs w:val="21"/>
              </w:rPr>
              <w:t>4.资源性资产评估实务讲解</w:t>
            </w:r>
          </w:p>
          <w:p>
            <w:pPr>
              <w:spacing w:line="280" w:lineRule="exact"/>
              <w:jc w:val="left"/>
              <w:rPr>
                <w:rFonts w:ascii="宋体" w:hAnsi="宋体" w:eastAsia="宋体"/>
                <w:sz w:val="20"/>
                <w:szCs w:val="21"/>
              </w:rPr>
            </w:pPr>
            <w:r>
              <w:rPr>
                <w:rFonts w:hint="eastAsia" w:ascii="宋体" w:hAnsi="宋体" w:eastAsia="宋体"/>
                <w:sz w:val="20"/>
                <w:szCs w:val="21"/>
              </w:rPr>
              <w:t>5.机构内控建设与精益管理</w:t>
            </w:r>
          </w:p>
          <w:p>
            <w:pPr>
              <w:spacing w:line="280" w:lineRule="exact"/>
              <w:jc w:val="left"/>
              <w:rPr>
                <w:rFonts w:ascii="宋体" w:hAnsi="宋体" w:eastAsia="宋体"/>
                <w:sz w:val="20"/>
                <w:szCs w:val="21"/>
              </w:rPr>
            </w:pPr>
            <w:r>
              <w:rPr>
                <w:rFonts w:hint="eastAsia" w:ascii="宋体" w:hAnsi="宋体" w:eastAsia="宋体"/>
                <w:sz w:val="20"/>
                <w:szCs w:val="21"/>
              </w:rPr>
              <w:t>6.</w:t>
            </w:r>
            <w:r>
              <w:rPr>
                <w:rFonts w:hint="eastAsia" w:asciiTheme="minorEastAsia" w:hAnsiTheme="minorEastAsia" w:eastAsiaTheme="minorEastAsia"/>
                <w:kern w:val="0"/>
                <w:sz w:val="20"/>
                <w:szCs w:val="21"/>
              </w:rPr>
              <w:t>资产评估业务质量检查中重点问题讲解</w:t>
            </w:r>
          </w:p>
        </w:tc>
        <w:tc>
          <w:tcPr>
            <w:tcW w:w="1418" w:type="dxa"/>
            <w:shd w:val="clear" w:color="auto" w:fill="auto"/>
            <w:vAlign w:val="center"/>
          </w:tcPr>
          <w:p>
            <w:pPr>
              <w:spacing w:line="280" w:lineRule="exact"/>
              <w:rPr>
                <w:rFonts w:ascii="宋体" w:hAnsi="宋体" w:eastAsia="宋体"/>
                <w:sz w:val="20"/>
                <w:szCs w:val="20"/>
              </w:rPr>
            </w:pPr>
            <w:r>
              <w:rPr>
                <w:rFonts w:hint="eastAsia" w:ascii="宋体" w:hAnsi="宋体" w:eastAsia="宋体"/>
                <w:sz w:val="20"/>
                <w:szCs w:val="20"/>
              </w:rPr>
              <w:t>宁夏回族自治区资产评估师</w:t>
            </w:r>
          </w:p>
        </w:tc>
        <w:tc>
          <w:tcPr>
            <w:tcW w:w="1461" w:type="dxa"/>
            <w:shd w:val="clear" w:color="auto" w:fill="auto"/>
            <w:vAlign w:val="center"/>
          </w:tcPr>
          <w:p>
            <w:pPr>
              <w:spacing w:line="280" w:lineRule="exact"/>
              <w:jc w:val="center"/>
              <w:rPr>
                <w:rFonts w:ascii="宋体" w:hAnsi="宋体" w:eastAsia="宋体"/>
                <w:sz w:val="20"/>
                <w:szCs w:val="20"/>
              </w:rPr>
            </w:pPr>
            <w:r>
              <w:rPr>
                <w:rFonts w:hint="eastAsia" w:ascii="宋体" w:hAnsi="宋体" w:eastAsia="宋体"/>
                <w:sz w:val="20"/>
                <w:szCs w:val="21"/>
              </w:rPr>
              <w:t>银川</w:t>
            </w:r>
          </w:p>
        </w:tc>
        <w:tc>
          <w:tcPr>
            <w:tcW w:w="807" w:type="dxa"/>
            <w:shd w:val="clear" w:color="auto" w:fill="auto"/>
            <w:vAlign w:val="center"/>
          </w:tcPr>
          <w:p>
            <w:pPr>
              <w:spacing w:line="280" w:lineRule="exact"/>
              <w:jc w:val="center"/>
              <w:rPr>
                <w:rFonts w:ascii="宋体" w:hAnsi="宋体" w:eastAsia="宋体"/>
                <w:sz w:val="20"/>
                <w:szCs w:val="20"/>
              </w:rPr>
            </w:pPr>
            <w:r>
              <w:rPr>
                <w:rFonts w:hint="eastAsia" w:ascii="宋体" w:hAnsi="宋体" w:eastAsia="宋体"/>
                <w:sz w:val="20"/>
                <w:szCs w:val="20"/>
              </w:rPr>
              <w:t>3</w:t>
            </w:r>
          </w:p>
        </w:tc>
        <w:tc>
          <w:tcPr>
            <w:tcW w:w="1275" w:type="dxa"/>
            <w:shd w:val="clear" w:color="auto" w:fill="auto"/>
            <w:vAlign w:val="center"/>
          </w:tcPr>
          <w:p>
            <w:pPr>
              <w:spacing w:line="280" w:lineRule="exact"/>
              <w:jc w:val="center"/>
              <w:rPr>
                <w:rFonts w:ascii="宋体" w:hAnsi="宋体" w:eastAsia="宋体"/>
                <w:sz w:val="20"/>
                <w:szCs w:val="20"/>
              </w:rPr>
            </w:pPr>
            <w:r>
              <w:rPr>
                <w:rFonts w:hint="eastAsia" w:ascii="宋体" w:hAnsi="宋体" w:eastAsia="宋体"/>
                <w:sz w:val="20"/>
                <w:szCs w:val="21"/>
              </w:rPr>
              <w:t>面授</w:t>
            </w:r>
          </w:p>
        </w:tc>
        <w:tc>
          <w:tcPr>
            <w:tcW w:w="1843" w:type="dxa"/>
            <w:shd w:val="clear" w:color="auto" w:fill="auto"/>
            <w:vAlign w:val="center"/>
          </w:tcPr>
          <w:p>
            <w:pPr>
              <w:spacing w:line="280" w:lineRule="exact"/>
              <w:jc w:val="center"/>
              <w:rPr>
                <w:rFonts w:ascii="宋体" w:hAnsi="宋体" w:eastAsia="宋体"/>
                <w:sz w:val="20"/>
                <w:szCs w:val="20"/>
              </w:rPr>
            </w:pPr>
            <w:r>
              <w:rPr>
                <w:rFonts w:hint="eastAsia" w:ascii="宋体" w:hAnsi="宋体" w:eastAsia="宋体"/>
                <w:sz w:val="20"/>
                <w:szCs w:val="20"/>
              </w:rPr>
              <w:t>7月18-20日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8" w:hRule="atLeast"/>
        </w:trPr>
        <w:tc>
          <w:tcPr>
            <w:tcW w:w="852" w:type="dxa"/>
            <w:shd w:val="clear" w:color="auto" w:fill="auto"/>
            <w:vAlign w:val="center"/>
          </w:tcPr>
          <w:p>
            <w:pPr>
              <w:spacing w:line="260" w:lineRule="exact"/>
              <w:jc w:val="center"/>
              <w:rPr>
                <w:rFonts w:ascii="宋体" w:hAnsi="宋体" w:eastAsia="宋体"/>
                <w:sz w:val="20"/>
                <w:szCs w:val="20"/>
              </w:rPr>
            </w:pPr>
            <w:r>
              <w:rPr>
                <w:rFonts w:hint="eastAsia" w:ascii="宋体" w:hAnsi="宋体" w:eastAsia="宋体"/>
                <w:sz w:val="20"/>
                <w:szCs w:val="20"/>
              </w:rPr>
              <w:t>8</w:t>
            </w:r>
          </w:p>
        </w:tc>
        <w:tc>
          <w:tcPr>
            <w:tcW w:w="2450" w:type="dxa"/>
            <w:shd w:val="clear" w:color="auto" w:fill="auto"/>
            <w:vAlign w:val="center"/>
          </w:tcPr>
          <w:p>
            <w:pPr>
              <w:spacing w:line="280" w:lineRule="exact"/>
              <w:jc w:val="left"/>
              <w:rPr>
                <w:rFonts w:ascii="宋体" w:hAnsi="宋体" w:eastAsia="宋体"/>
                <w:sz w:val="20"/>
                <w:szCs w:val="21"/>
              </w:rPr>
            </w:pPr>
            <w:r>
              <w:rPr>
                <w:rFonts w:hint="eastAsia" w:ascii="宋体" w:hAnsi="宋体" w:eastAsia="宋体"/>
                <w:sz w:val="20"/>
                <w:szCs w:val="21"/>
              </w:rPr>
              <w:t>知识产权评估研讨班</w:t>
            </w:r>
          </w:p>
        </w:tc>
        <w:tc>
          <w:tcPr>
            <w:tcW w:w="4766" w:type="dxa"/>
            <w:shd w:val="clear" w:color="auto" w:fill="auto"/>
            <w:vAlign w:val="center"/>
          </w:tcPr>
          <w:p>
            <w:pPr>
              <w:spacing w:line="280" w:lineRule="exact"/>
              <w:jc w:val="left"/>
              <w:rPr>
                <w:rFonts w:ascii="宋体" w:hAnsi="宋体" w:eastAsia="宋体"/>
                <w:sz w:val="20"/>
                <w:szCs w:val="21"/>
              </w:rPr>
            </w:pPr>
            <w:r>
              <w:rPr>
                <w:rFonts w:ascii="宋体" w:hAnsi="宋体" w:eastAsia="宋体"/>
                <w:sz w:val="20"/>
                <w:szCs w:val="21"/>
              </w:rPr>
              <w:t>1.知识产权相关法律法规解读</w:t>
            </w:r>
          </w:p>
          <w:p>
            <w:pPr>
              <w:spacing w:line="280" w:lineRule="exact"/>
              <w:jc w:val="left"/>
              <w:rPr>
                <w:rFonts w:ascii="宋体" w:hAnsi="宋体" w:eastAsia="宋体"/>
                <w:sz w:val="20"/>
                <w:szCs w:val="21"/>
              </w:rPr>
            </w:pPr>
            <w:r>
              <w:rPr>
                <w:rFonts w:ascii="宋体" w:hAnsi="宋体" w:eastAsia="宋体"/>
                <w:sz w:val="20"/>
                <w:szCs w:val="21"/>
              </w:rPr>
              <w:t>2.专利权评估的重点难点问题</w:t>
            </w:r>
          </w:p>
          <w:p>
            <w:pPr>
              <w:spacing w:line="280" w:lineRule="exact"/>
              <w:jc w:val="left"/>
              <w:rPr>
                <w:rFonts w:ascii="宋体" w:hAnsi="宋体" w:eastAsia="宋体"/>
                <w:sz w:val="20"/>
                <w:szCs w:val="21"/>
              </w:rPr>
            </w:pPr>
            <w:r>
              <w:rPr>
                <w:rFonts w:ascii="宋体" w:hAnsi="宋体" w:eastAsia="宋体"/>
                <w:sz w:val="20"/>
                <w:szCs w:val="21"/>
              </w:rPr>
              <w:t>3.商标权评估的重点难点问题</w:t>
            </w:r>
          </w:p>
          <w:p>
            <w:pPr>
              <w:spacing w:line="280" w:lineRule="exact"/>
              <w:jc w:val="left"/>
              <w:rPr>
                <w:rFonts w:ascii="宋体" w:hAnsi="宋体" w:eastAsia="宋体"/>
                <w:sz w:val="20"/>
                <w:szCs w:val="21"/>
              </w:rPr>
            </w:pPr>
            <w:r>
              <w:rPr>
                <w:rFonts w:ascii="宋体" w:hAnsi="宋体" w:eastAsia="宋体"/>
                <w:sz w:val="20"/>
                <w:szCs w:val="21"/>
              </w:rPr>
              <w:t>4.文化体育游戏行业</w:t>
            </w:r>
            <w:r>
              <w:rPr>
                <w:rFonts w:hint="eastAsia" w:ascii="宋体" w:hAnsi="宋体" w:eastAsia="宋体"/>
                <w:sz w:val="20"/>
                <w:szCs w:val="21"/>
              </w:rPr>
              <w:t>评估重难点与案例分析</w:t>
            </w:r>
          </w:p>
          <w:p>
            <w:pPr>
              <w:spacing w:line="280" w:lineRule="exact"/>
              <w:jc w:val="left"/>
              <w:rPr>
                <w:rFonts w:ascii="宋体" w:hAnsi="宋体" w:eastAsia="宋体"/>
                <w:sz w:val="20"/>
                <w:szCs w:val="21"/>
              </w:rPr>
            </w:pPr>
            <w:r>
              <w:rPr>
                <w:rFonts w:ascii="宋体" w:hAnsi="宋体" w:eastAsia="宋体"/>
                <w:sz w:val="20"/>
                <w:szCs w:val="21"/>
              </w:rPr>
              <w:t>5.科技成果转化价值评估重点难点问题</w:t>
            </w:r>
          </w:p>
          <w:p>
            <w:pPr>
              <w:spacing w:line="260" w:lineRule="exact"/>
              <w:jc w:val="left"/>
              <w:rPr>
                <w:rFonts w:ascii="宋体" w:hAnsi="宋体" w:eastAsia="宋体"/>
                <w:sz w:val="20"/>
                <w:szCs w:val="21"/>
              </w:rPr>
            </w:pPr>
            <w:r>
              <w:rPr>
                <w:rFonts w:ascii="宋体" w:hAnsi="宋体" w:eastAsia="宋体"/>
                <w:sz w:val="20"/>
                <w:szCs w:val="21"/>
              </w:rPr>
              <w:t>6.知识产权证券化评估重点难点问题</w:t>
            </w:r>
          </w:p>
          <w:p>
            <w:pPr>
              <w:adjustRightInd w:val="0"/>
              <w:snapToGrid w:val="0"/>
              <w:rPr>
                <w:rFonts w:ascii="宋体" w:hAnsi="宋体" w:eastAsia="宋体"/>
                <w:sz w:val="20"/>
                <w:szCs w:val="20"/>
              </w:rPr>
            </w:pPr>
            <w:r>
              <w:rPr>
                <w:rFonts w:ascii="宋体" w:hAnsi="宋体" w:eastAsia="宋体"/>
                <w:sz w:val="20"/>
                <w:szCs w:val="21"/>
              </w:rPr>
              <w:t>7.知识产权损害赔偿评估分析</w:t>
            </w:r>
          </w:p>
        </w:tc>
        <w:tc>
          <w:tcPr>
            <w:tcW w:w="1418" w:type="dxa"/>
            <w:shd w:val="clear" w:color="auto" w:fill="auto"/>
            <w:vAlign w:val="center"/>
          </w:tcPr>
          <w:p>
            <w:pPr>
              <w:spacing w:line="260" w:lineRule="exact"/>
              <w:rPr>
                <w:rFonts w:ascii="宋体" w:hAnsi="宋体" w:eastAsia="宋体"/>
                <w:sz w:val="20"/>
                <w:szCs w:val="20"/>
              </w:rPr>
            </w:pPr>
            <w:r>
              <w:rPr>
                <w:rFonts w:hint="eastAsia" w:ascii="宋体" w:hAnsi="宋体" w:eastAsia="宋体"/>
                <w:sz w:val="20"/>
                <w:szCs w:val="20"/>
              </w:rPr>
              <w:t>资产评估师</w:t>
            </w:r>
          </w:p>
        </w:tc>
        <w:tc>
          <w:tcPr>
            <w:tcW w:w="1461" w:type="dxa"/>
            <w:shd w:val="clear" w:color="auto" w:fill="auto"/>
            <w:vAlign w:val="center"/>
          </w:tcPr>
          <w:p>
            <w:pPr>
              <w:spacing w:line="280" w:lineRule="exact"/>
              <w:jc w:val="center"/>
              <w:rPr>
                <w:rFonts w:ascii="宋体" w:hAnsi="宋体" w:eastAsia="宋体"/>
                <w:sz w:val="20"/>
                <w:szCs w:val="20"/>
              </w:rPr>
            </w:pPr>
            <w:r>
              <w:rPr>
                <w:rFonts w:hint="eastAsia" w:ascii="宋体" w:hAnsi="宋体" w:eastAsia="宋体"/>
                <w:sz w:val="20"/>
                <w:szCs w:val="21"/>
              </w:rPr>
              <w:t>北京国家会计学院</w:t>
            </w:r>
          </w:p>
        </w:tc>
        <w:tc>
          <w:tcPr>
            <w:tcW w:w="807" w:type="dxa"/>
            <w:shd w:val="clear" w:color="auto" w:fill="auto"/>
            <w:vAlign w:val="center"/>
          </w:tcPr>
          <w:p>
            <w:pPr>
              <w:spacing w:line="280" w:lineRule="exact"/>
              <w:jc w:val="center"/>
              <w:rPr>
                <w:rFonts w:ascii="宋体" w:hAnsi="宋体" w:eastAsia="宋体"/>
                <w:sz w:val="20"/>
                <w:szCs w:val="20"/>
              </w:rPr>
            </w:pPr>
            <w:r>
              <w:rPr>
                <w:rFonts w:hint="eastAsia" w:ascii="宋体" w:hAnsi="宋体" w:eastAsia="宋体"/>
                <w:sz w:val="20"/>
                <w:szCs w:val="20"/>
              </w:rPr>
              <w:t>3</w:t>
            </w:r>
          </w:p>
        </w:tc>
        <w:tc>
          <w:tcPr>
            <w:tcW w:w="1275" w:type="dxa"/>
            <w:shd w:val="clear" w:color="auto" w:fill="auto"/>
            <w:vAlign w:val="center"/>
          </w:tcPr>
          <w:p>
            <w:pPr>
              <w:spacing w:line="280" w:lineRule="exact"/>
              <w:jc w:val="center"/>
              <w:rPr>
                <w:rFonts w:ascii="宋体" w:hAnsi="宋体" w:eastAsia="宋体"/>
                <w:sz w:val="20"/>
                <w:szCs w:val="21"/>
              </w:rPr>
            </w:pPr>
            <w:r>
              <w:rPr>
                <w:rFonts w:hint="eastAsia" w:ascii="宋体" w:hAnsi="宋体" w:eastAsia="宋体"/>
                <w:sz w:val="20"/>
                <w:szCs w:val="21"/>
              </w:rPr>
              <w:t>网络直播</w:t>
            </w:r>
          </w:p>
        </w:tc>
        <w:tc>
          <w:tcPr>
            <w:tcW w:w="1843" w:type="dxa"/>
            <w:shd w:val="clear" w:color="auto" w:fill="auto"/>
            <w:vAlign w:val="center"/>
          </w:tcPr>
          <w:p>
            <w:pPr>
              <w:spacing w:line="280" w:lineRule="exact"/>
              <w:jc w:val="center"/>
              <w:rPr>
                <w:rFonts w:ascii="宋体" w:hAnsi="宋体" w:eastAsia="宋体"/>
                <w:sz w:val="20"/>
                <w:szCs w:val="20"/>
              </w:rPr>
            </w:pPr>
            <w:r>
              <w:rPr>
                <w:rFonts w:hint="eastAsia" w:ascii="宋体" w:hAnsi="宋体" w:eastAsia="宋体"/>
                <w:sz w:val="20"/>
                <w:szCs w:val="20"/>
              </w:rPr>
              <w:t>8月2-4日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blHeader/>
        </w:trPr>
        <w:tc>
          <w:tcPr>
            <w:tcW w:w="852" w:type="dxa"/>
            <w:shd w:val="clear" w:color="auto" w:fill="auto"/>
            <w:vAlign w:val="center"/>
          </w:tcPr>
          <w:p>
            <w:pPr>
              <w:spacing w:line="276" w:lineRule="auto"/>
              <w:jc w:val="center"/>
              <w:rPr>
                <w:rFonts w:ascii="宋体" w:hAnsi="宋体"/>
                <w:b/>
                <w:sz w:val="24"/>
                <w:szCs w:val="24"/>
              </w:rPr>
            </w:pPr>
            <w:r>
              <w:rPr>
                <w:rFonts w:hint="eastAsia" w:ascii="宋体" w:hAnsi="宋体"/>
                <w:b/>
                <w:sz w:val="24"/>
                <w:szCs w:val="24"/>
              </w:rPr>
              <w:t>序号</w:t>
            </w:r>
          </w:p>
        </w:tc>
        <w:tc>
          <w:tcPr>
            <w:tcW w:w="2450" w:type="dxa"/>
            <w:shd w:val="clear" w:color="auto" w:fill="auto"/>
            <w:vAlign w:val="center"/>
          </w:tcPr>
          <w:p>
            <w:pPr>
              <w:spacing w:line="276" w:lineRule="auto"/>
              <w:jc w:val="center"/>
              <w:rPr>
                <w:rFonts w:ascii="宋体" w:hAnsi="宋体"/>
                <w:b/>
                <w:sz w:val="24"/>
                <w:szCs w:val="24"/>
              </w:rPr>
            </w:pPr>
            <w:r>
              <w:rPr>
                <w:rFonts w:hint="eastAsia" w:ascii="宋体" w:hAnsi="宋体"/>
                <w:b/>
                <w:sz w:val="24"/>
                <w:szCs w:val="24"/>
              </w:rPr>
              <w:t>培训（研讨）班名称</w:t>
            </w:r>
          </w:p>
        </w:tc>
        <w:tc>
          <w:tcPr>
            <w:tcW w:w="4766" w:type="dxa"/>
            <w:shd w:val="clear" w:color="auto" w:fill="auto"/>
            <w:vAlign w:val="center"/>
          </w:tcPr>
          <w:p>
            <w:pPr>
              <w:spacing w:line="276" w:lineRule="auto"/>
              <w:jc w:val="center"/>
              <w:rPr>
                <w:rFonts w:ascii="宋体" w:hAnsi="宋体"/>
                <w:b/>
                <w:sz w:val="24"/>
                <w:szCs w:val="24"/>
              </w:rPr>
            </w:pPr>
            <w:r>
              <w:rPr>
                <w:rFonts w:hint="eastAsia" w:ascii="宋体" w:hAnsi="宋体"/>
                <w:b/>
                <w:sz w:val="24"/>
                <w:szCs w:val="24"/>
              </w:rPr>
              <w:t>培训内容</w:t>
            </w:r>
          </w:p>
        </w:tc>
        <w:tc>
          <w:tcPr>
            <w:tcW w:w="1418" w:type="dxa"/>
            <w:shd w:val="clear" w:color="auto" w:fill="auto"/>
            <w:vAlign w:val="center"/>
          </w:tcPr>
          <w:p>
            <w:pPr>
              <w:spacing w:line="276" w:lineRule="auto"/>
              <w:jc w:val="center"/>
              <w:rPr>
                <w:rFonts w:ascii="宋体" w:hAnsi="宋体"/>
                <w:b/>
                <w:sz w:val="24"/>
                <w:szCs w:val="24"/>
              </w:rPr>
            </w:pPr>
            <w:r>
              <w:rPr>
                <w:rFonts w:hint="eastAsia" w:ascii="宋体" w:hAnsi="宋体"/>
                <w:b/>
                <w:sz w:val="24"/>
                <w:szCs w:val="24"/>
              </w:rPr>
              <w:t>培训对象</w:t>
            </w:r>
          </w:p>
        </w:tc>
        <w:tc>
          <w:tcPr>
            <w:tcW w:w="1461" w:type="dxa"/>
            <w:shd w:val="clear" w:color="auto" w:fill="auto"/>
            <w:vAlign w:val="center"/>
          </w:tcPr>
          <w:p>
            <w:pPr>
              <w:spacing w:line="276" w:lineRule="auto"/>
              <w:jc w:val="center"/>
              <w:rPr>
                <w:rFonts w:ascii="宋体" w:hAnsi="宋体"/>
                <w:b/>
                <w:sz w:val="24"/>
                <w:szCs w:val="24"/>
              </w:rPr>
            </w:pPr>
            <w:r>
              <w:rPr>
                <w:rFonts w:hint="eastAsia" w:ascii="宋体" w:hAnsi="宋体"/>
                <w:b/>
                <w:sz w:val="24"/>
                <w:szCs w:val="24"/>
              </w:rPr>
              <w:t>地点</w:t>
            </w:r>
          </w:p>
        </w:tc>
        <w:tc>
          <w:tcPr>
            <w:tcW w:w="807" w:type="dxa"/>
            <w:shd w:val="clear" w:color="auto" w:fill="auto"/>
            <w:vAlign w:val="center"/>
          </w:tcPr>
          <w:p>
            <w:pPr>
              <w:spacing w:line="276" w:lineRule="auto"/>
              <w:jc w:val="center"/>
              <w:rPr>
                <w:rFonts w:ascii="宋体" w:hAnsi="宋体"/>
                <w:b/>
                <w:sz w:val="24"/>
                <w:szCs w:val="24"/>
              </w:rPr>
            </w:pPr>
            <w:r>
              <w:rPr>
                <w:rFonts w:hint="eastAsia" w:ascii="宋体" w:hAnsi="宋体"/>
                <w:b/>
                <w:sz w:val="24"/>
                <w:szCs w:val="24"/>
              </w:rPr>
              <w:t>天数</w:t>
            </w:r>
          </w:p>
        </w:tc>
        <w:tc>
          <w:tcPr>
            <w:tcW w:w="1275" w:type="dxa"/>
            <w:shd w:val="clear" w:color="auto" w:fill="auto"/>
            <w:vAlign w:val="center"/>
          </w:tcPr>
          <w:p>
            <w:pPr>
              <w:spacing w:line="276" w:lineRule="auto"/>
              <w:jc w:val="center"/>
              <w:rPr>
                <w:rFonts w:ascii="宋体" w:hAnsi="宋体"/>
                <w:b/>
                <w:sz w:val="24"/>
                <w:szCs w:val="24"/>
              </w:rPr>
            </w:pPr>
            <w:r>
              <w:rPr>
                <w:rFonts w:hint="eastAsia" w:ascii="宋体" w:hAnsi="宋体"/>
                <w:b/>
                <w:sz w:val="24"/>
                <w:szCs w:val="24"/>
              </w:rPr>
              <w:t>培训方式</w:t>
            </w:r>
          </w:p>
        </w:tc>
        <w:tc>
          <w:tcPr>
            <w:tcW w:w="1843" w:type="dxa"/>
            <w:shd w:val="clear" w:color="auto" w:fill="auto"/>
            <w:vAlign w:val="center"/>
          </w:tcPr>
          <w:p>
            <w:pPr>
              <w:spacing w:line="276" w:lineRule="auto"/>
              <w:jc w:val="center"/>
              <w:rPr>
                <w:rFonts w:ascii="宋体" w:hAnsi="宋体"/>
                <w:b/>
                <w:sz w:val="24"/>
                <w:szCs w:val="24"/>
              </w:rPr>
            </w:pPr>
            <w:r>
              <w:rPr>
                <w:rFonts w:hint="eastAsia" w:ascii="宋体" w:hAnsi="宋体"/>
                <w:b/>
                <w:sz w:val="24"/>
                <w:szCs w:val="24"/>
              </w:rPr>
              <w:t>预计培训时间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2" w:hRule="atLeast"/>
        </w:trPr>
        <w:tc>
          <w:tcPr>
            <w:tcW w:w="852" w:type="dxa"/>
            <w:shd w:val="clear" w:color="auto" w:fill="auto"/>
            <w:vAlign w:val="center"/>
          </w:tcPr>
          <w:p>
            <w:pPr>
              <w:spacing w:line="260" w:lineRule="exact"/>
              <w:jc w:val="center"/>
              <w:rPr>
                <w:rFonts w:ascii="宋体" w:hAnsi="宋体" w:eastAsia="宋体"/>
                <w:sz w:val="20"/>
                <w:szCs w:val="20"/>
              </w:rPr>
            </w:pPr>
            <w:r>
              <w:rPr>
                <w:rFonts w:hint="eastAsia" w:ascii="宋体" w:hAnsi="宋体" w:eastAsia="宋体"/>
                <w:sz w:val="20"/>
                <w:szCs w:val="20"/>
              </w:rPr>
              <w:t>9</w:t>
            </w:r>
          </w:p>
        </w:tc>
        <w:tc>
          <w:tcPr>
            <w:tcW w:w="2450" w:type="dxa"/>
            <w:shd w:val="clear" w:color="auto" w:fill="auto"/>
            <w:vAlign w:val="center"/>
          </w:tcPr>
          <w:p>
            <w:pPr>
              <w:spacing w:line="280" w:lineRule="exact"/>
              <w:jc w:val="left"/>
              <w:rPr>
                <w:rFonts w:ascii="宋体" w:hAnsi="宋体" w:eastAsia="宋体"/>
                <w:sz w:val="20"/>
                <w:szCs w:val="21"/>
              </w:rPr>
            </w:pPr>
            <w:r>
              <w:rPr>
                <w:rFonts w:hint="eastAsia" w:ascii="宋体" w:hAnsi="宋体" w:eastAsia="宋体"/>
                <w:sz w:val="20"/>
                <w:szCs w:val="21"/>
              </w:rPr>
              <w:t>中部地区（湖南）业务骨干培训班</w:t>
            </w:r>
          </w:p>
        </w:tc>
        <w:tc>
          <w:tcPr>
            <w:tcW w:w="4766" w:type="dxa"/>
            <w:shd w:val="clear" w:color="auto" w:fill="auto"/>
            <w:vAlign w:val="center"/>
          </w:tcPr>
          <w:p>
            <w:pPr>
              <w:adjustRightInd w:val="0"/>
              <w:snapToGrid w:val="0"/>
              <w:rPr>
                <w:rFonts w:ascii="宋体" w:hAnsi="宋体" w:eastAsia="宋体"/>
                <w:sz w:val="20"/>
                <w:szCs w:val="21"/>
              </w:rPr>
            </w:pPr>
            <w:r>
              <w:rPr>
                <w:rFonts w:hint="eastAsia" w:ascii="宋体" w:hAnsi="宋体" w:eastAsia="宋体"/>
                <w:sz w:val="20"/>
                <w:szCs w:val="21"/>
              </w:rPr>
              <w:t>1.国有资产评估报告审核实务</w:t>
            </w:r>
          </w:p>
          <w:p>
            <w:pPr>
              <w:adjustRightInd w:val="0"/>
              <w:snapToGrid w:val="0"/>
              <w:rPr>
                <w:rFonts w:ascii="宋体" w:hAnsi="宋体" w:eastAsia="宋体"/>
                <w:sz w:val="20"/>
                <w:szCs w:val="21"/>
              </w:rPr>
            </w:pPr>
            <w:r>
              <w:rPr>
                <w:rFonts w:hint="eastAsia" w:ascii="宋体" w:hAnsi="宋体" w:eastAsia="宋体"/>
                <w:sz w:val="20"/>
                <w:szCs w:val="21"/>
              </w:rPr>
              <w:t>2.新资产评估法规与系列准则解读</w:t>
            </w:r>
          </w:p>
          <w:p>
            <w:pPr>
              <w:adjustRightInd w:val="0"/>
              <w:snapToGrid w:val="0"/>
              <w:rPr>
                <w:rFonts w:ascii="宋体" w:hAnsi="宋体" w:eastAsia="宋体"/>
                <w:sz w:val="20"/>
                <w:szCs w:val="21"/>
              </w:rPr>
            </w:pPr>
            <w:r>
              <w:rPr>
                <w:rFonts w:hint="eastAsia" w:ascii="宋体" w:hAnsi="宋体" w:eastAsia="宋体"/>
                <w:sz w:val="20"/>
                <w:szCs w:val="21"/>
              </w:rPr>
              <w:t>3.财政支出绩效评价政策与实务</w:t>
            </w:r>
          </w:p>
          <w:p>
            <w:pPr>
              <w:spacing w:line="280" w:lineRule="exact"/>
              <w:jc w:val="left"/>
              <w:rPr>
                <w:rFonts w:ascii="宋体" w:hAnsi="宋体" w:eastAsia="宋体"/>
                <w:sz w:val="20"/>
                <w:szCs w:val="21"/>
              </w:rPr>
            </w:pPr>
            <w:r>
              <w:rPr>
                <w:rFonts w:hint="eastAsia" w:ascii="宋体" w:hAnsi="宋体" w:eastAsia="宋体"/>
                <w:sz w:val="20"/>
                <w:szCs w:val="21"/>
              </w:rPr>
              <w:t>4.机构内控建设与精益管理</w:t>
            </w:r>
          </w:p>
          <w:p>
            <w:pPr>
              <w:spacing w:line="260" w:lineRule="exact"/>
              <w:jc w:val="left"/>
              <w:rPr>
                <w:rFonts w:ascii="宋体" w:hAnsi="宋体" w:eastAsia="宋体"/>
                <w:sz w:val="20"/>
                <w:szCs w:val="21"/>
              </w:rPr>
            </w:pPr>
            <w:r>
              <w:rPr>
                <w:rFonts w:hint="eastAsia" w:ascii="宋体" w:hAnsi="宋体" w:eastAsia="宋体"/>
                <w:sz w:val="20"/>
                <w:szCs w:val="21"/>
              </w:rPr>
              <w:t>5.</w:t>
            </w:r>
            <w:r>
              <w:rPr>
                <w:rFonts w:hint="eastAsia" w:asciiTheme="minorEastAsia" w:hAnsiTheme="minorEastAsia" w:eastAsiaTheme="minorEastAsia"/>
                <w:kern w:val="0"/>
                <w:sz w:val="20"/>
              </w:rPr>
              <w:t>文化企业价值评估实务及案例讲解</w:t>
            </w:r>
          </w:p>
          <w:p>
            <w:pPr>
              <w:spacing w:line="260" w:lineRule="exact"/>
              <w:jc w:val="left"/>
              <w:rPr>
                <w:rFonts w:ascii="宋体" w:hAnsi="宋体" w:eastAsia="宋体"/>
                <w:sz w:val="20"/>
                <w:szCs w:val="20"/>
              </w:rPr>
            </w:pPr>
            <w:r>
              <w:rPr>
                <w:rFonts w:hint="eastAsia" w:asciiTheme="minorEastAsia" w:hAnsiTheme="minorEastAsia" w:eastAsiaTheme="minorEastAsia"/>
                <w:kern w:val="0"/>
                <w:sz w:val="20"/>
                <w:szCs w:val="21"/>
              </w:rPr>
              <w:t>6.资产评估业务质量检查中重点问题讲解</w:t>
            </w:r>
          </w:p>
        </w:tc>
        <w:tc>
          <w:tcPr>
            <w:tcW w:w="1418" w:type="dxa"/>
            <w:shd w:val="clear" w:color="auto" w:fill="auto"/>
            <w:vAlign w:val="center"/>
          </w:tcPr>
          <w:p>
            <w:pPr>
              <w:spacing w:line="260" w:lineRule="exact"/>
              <w:rPr>
                <w:rFonts w:ascii="宋体" w:hAnsi="宋体" w:eastAsia="宋体"/>
                <w:sz w:val="20"/>
                <w:szCs w:val="20"/>
              </w:rPr>
            </w:pPr>
            <w:r>
              <w:rPr>
                <w:rFonts w:hint="eastAsia" w:ascii="宋体" w:hAnsi="宋体" w:eastAsia="宋体"/>
                <w:sz w:val="20"/>
                <w:szCs w:val="20"/>
              </w:rPr>
              <w:t>湖南省资产评估师</w:t>
            </w:r>
          </w:p>
        </w:tc>
        <w:tc>
          <w:tcPr>
            <w:tcW w:w="1461" w:type="dxa"/>
            <w:shd w:val="clear" w:color="auto" w:fill="auto"/>
            <w:vAlign w:val="center"/>
          </w:tcPr>
          <w:p>
            <w:pPr>
              <w:spacing w:line="280" w:lineRule="exact"/>
              <w:jc w:val="center"/>
              <w:rPr>
                <w:rFonts w:ascii="宋体" w:hAnsi="宋体" w:eastAsia="宋体"/>
                <w:sz w:val="20"/>
                <w:szCs w:val="21"/>
              </w:rPr>
            </w:pPr>
            <w:r>
              <w:rPr>
                <w:rFonts w:hint="eastAsia" w:ascii="宋体" w:hAnsi="宋体" w:eastAsia="宋体"/>
                <w:sz w:val="20"/>
                <w:szCs w:val="20"/>
              </w:rPr>
              <w:t>长沙</w:t>
            </w:r>
          </w:p>
        </w:tc>
        <w:tc>
          <w:tcPr>
            <w:tcW w:w="807" w:type="dxa"/>
            <w:shd w:val="clear" w:color="auto" w:fill="auto"/>
            <w:vAlign w:val="center"/>
          </w:tcPr>
          <w:p>
            <w:pPr>
              <w:spacing w:line="280" w:lineRule="exact"/>
              <w:jc w:val="center"/>
              <w:rPr>
                <w:rFonts w:ascii="宋体" w:hAnsi="宋体" w:eastAsia="宋体"/>
                <w:sz w:val="20"/>
                <w:szCs w:val="20"/>
              </w:rPr>
            </w:pPr>
            <w:r>
              <w:rPr>
                <w:rFonts w:hint="eastAsia" w:ascii="宋体" w:hAnsi="宋体" w:eastAsia="宋体"/>
                <w:sz w:val="20"/>
                <w:szCs w:val="20"/>
              </w:rPr>
              <w:t>3</w:t>
            </w:r>
          </w:p>
        </w:tc>
        <w:tc>
          <w:tcPr>
            <w:tcW w:w="1275" w:type="dxa"/>
            <w:shd w:val="clear" w:color="auto" w:fill="auto"/>
            <w:vAlign w:val="center"/>
          </w:tcPr>
          <w:p>
            <w:pPr>
              <w:spacing w:line="280" w:lineRule="exact"/>
              <w:jc w:val="center"/>
              <w:rPr>
                <w:rFonts w:ascii="宋体" w:hAnsi="宋体" w:eastAsia="宋体"/>
                <w:sz w:val="20"/>
                <w:szCs w:val="21"/>
              </w:rPr>
            </w:pPr>
            <w:r>
              <w:rPr>
                <w:rFonts w:hint="eastAsia" w:ascii="宋体" w:hAnsi="宋体" w:eastAsia="宋体"/>
                <w:sz w:val="20"/>
                <w:szCs w:val="21"/>
              </w:rPr>
              <w:t>面授</w:t>
            </w:r>
          </w:p>
        </w:tc>
        <w:tc>
          <w:tcPr>
            <w:tcW w:w="1843" w:type="dxa"/>
            <w:shd w:val="clear" w:color="auto" w:fill="auto"/>
            <w:vAlign w:val="center"/>
          </w:tcPr>
          <w:p>
            <w:pPr>
              <w:spacing w:line="280" w:lineRule="exact"/>
              <w:jc w:val="center"/>
              <w:rPr>
                <w:rFonts w:ascii="宋体" w:hAnsi="宋体" w:eastAsia="宋体"/>
                <w:sz w:val="20"/>
                <w:szCs w:val="20"/>
              </w:rPr>
            </w:pPr>
            <w:r>
              <w:rPr>
                <w:rFonts w:hint="eastAsia" w:ascii="宋体" w:hAnsi="宋体" w:eastAsia="宋体"/>
                <w:sz w:val="20"/>
                <w:szCs w:val="20"/>
              </w:rPr>
              <w:t>8月22-24日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1" w:hRule="atLeast"/>
        </w:trPr>
        <w:tc>
          <w:tcPr>
            <w:tcW w:w="852" w:type="dxa"/>
            <w:shd w:val="clear" w:color="auto" w:fill="auto"/>
            <w:vAlign w:val="center"/>
          </w:tcPr>
          <w:p>
            <w:pPr>
              <w:spacing w:line="260" w:lineRule="exact"/>
              <w:jc w:val="center"/>
              <w:rPr>
                <w:rFonts w:ascii="宋体" w:hAnsi="宋体" w:eastAsia="宋体"/>
                <w:sz w:val="20"/>
                <w:szCs w:val="20"/>
              </w:rPr>
            </w:pPr>
            <w:r>
              <w:rPr>
                <w:rFonts w:hint="eastAsia" w:ascii="宋体" w:hAnsi="宋体" w:eastAsia="宋体"/>
                <w:sz w:val="20"/>
                <w:szCs w:val="20"/>
              </w:rPr>
              <w:t>10</w:t>
            </w:r>
          </w:p>
        </w:tc>
        <w:tc>
          <w:tcPr>
            <w:tcW w:w="2450" w:type="dxa"/>
            <w:shd w:val="clear" w:color="auto" w:fill="auto"/>
            <w:vAlign w:val="center"/>
          </w:tcPr>
          <w:p>
            <w:pPr>
              <w:spacing w:line="280" w:lineRule="exact"/>
              <w:jc w:val="left"/>
              <w:rPr>
                <w:rFonts w:ascii="宋体" w:hAnsi="宋体" w:eastAsia="宋体"/>
                <w:sz w:val="20"/>
                <w:szCs w:val="21"/>
              </w:rPr>
            </w:pPr>
            <w:r>
              <w:rPr>
                <w:rFonts w:hint="eastAsia" w:ascii="宋体" w:hAnsi="宋体" w:eastAsia="宋体"/>
                <w:sz w:val="20"/>
                <w:szCs w:val="21"/>
              </w:rPr>
              <w:t>金融工具与资产评估研讨班</w:t>
            </w:r>
          </w:p>
        </w:tc>
        <w:tc>
          <w:tcPr>
            <w:tcW w:w="4766" w:type="dxa"/>
            <w:shd w:val="clear" w:color="auto" w:fill="auto"/>
            <w:vAlign w:val="center"/>
          </w:tcPr>
          <w:p>
            <w:pPr>
              <w:spacing w:line="260" w:lineRule="exact"/>
              <w:jc w:val="left"/>
              <w:rPr>
                <w:rFonts w:ascii="宋体" w:hAnsi="宋体" w:eastAsia="宋体"/>
                <w:sz w:val="20"/>
                <w:szCs w:val="21"/>
              </w:rPr>
            </w:pPr>
            <w:r>
              <w:rPr>
                <w:rFonts w:hint="eastAsia" w:ascii="宋体" w:hAnsi="宋体" w:eastAsia="宋体"/>
                <w:sz w:val="20"/>
                <w:szCs w:val="20"/>
              </w:rPr>
              <w:t>1.</w:t>
            </w:r>
            <w:r>
              <w:rPr>
                <w:rFonts w:hint="eastAsia" w:ascii="宋体" w:hAnsi="宋体" w:eastAsia="宋体"/>
                <w:sz w:val="20"/>
                <w:szCs w:val="21"/>
              </w:rPr>
              <w:t>金融工具的会计核算与评估</w:t>
            </w:r>
          </w:p>
          <w:p>
            <w:pPr>
              <w:spacing w:line="260" w:lineRule="exact"/>
              <w:jc w:val="left"/>
              <w:rPr>
                <w:rFonts w:ascii="宋体" w:hAnsi="宋体" w:eastAsia="宋体"/>
                <w:sz w:val="20"/>
                <w:szCs w:val="21"/>
              </w:rPr>
            </w:pPr>
            <w:r>
              <w:rPr>
                <w:rFonts w:hint="eastAsia" w:ascii="宋体" w:hAnsi="宋体" w:eastAsia="宋体"/>
                <w:sz w:val="20"/>
                <w:szCs w:val="21"/>
              </w:rPr>
              <w:t>2.</w:t>
            </w:r>
            <w:r>
              <w:rPr>
                <w:rFonts w:ascii="宋体" w:hAnsi="宋体" w:eastAsia="宋体"/>
                <w:sz w:val="20"/>
                <w:szCs w:val="21"/>
              </w:rPr>
              <w:t>金融衍生工具评估实务与案例分析</w:t>
            </w:r>
          </w:p>
          <w:p>
            <w:pPr>
              <w:spacing w:line="260" w:lineRule="exact"/>
              <w:jc w:val="left"/>
              <w:rPr>
                <w:rFonts w:ascii="宋体" w:hAnsi="宋体" w:eastAsia="宋体"/>
                <w:sz w:val="20"/>
                <w:szCs w:val="21"/>
              </w:rPr>
            </w:pPr>
            <w:r>
              <w:rPr>
                <w:rFonts w:hint="eastAsia" w:ascii="宋体" w:hAnsi="宋体" w:eastAsia="宋体"/>
                <w:sz w:val="20"/>
                <w:szCs w:val="21"/>
              </w:rPr>
              <w:t>3.固定收益证券及常见基础金融工具的评估</w:t>
            </w:r>
          </w:p>
          <w:p>
            <w:pPr>
              <w:spacing w:line="260" w:lineRule="exact"/>
              <w:jc w:val="left"/>
              <w:rPr>
                <w:rFonts w:ascii="宋体" w:hAnsi="宋体" w:eastAsia="宋体"/>
                <w:sz w:val="20"/>
                <w:szCs w:val="21"/>
              </w:rPr>
            </w:pPr>
            <w:r>
              <w:rPr>
                <w:rFonts w:hint="eastAsia" w:ascii="宋体" w:hAnsi="宋体" w:eastAsia="宋体"/>
                <w:sz w:val="20"/>
                <w:szCs w:val="21"/>
              </w:rPr>
              <w:t>4.优先股权益或具有优先股东权利特征的普通股权益的评估实务与案例分析</w:t>
            </w:r>
          </w:p>
          <w:p>
            <w:pPr>
              <w:spacing w:line="260" w:lineRule="exact"/>
              <w:jc w:val="left"/>
              <w:rPr>
                <w:rFonts w:ascii="宋体" w:hAnsi="宋体" w:eastAsia="宋体"/>
                <w:sz w:val="20"/>
                <w:szCs w:val="21"/>
              </w:rPr>
            </w:pPr>
            <w:r>
              <w:rPr>
                <w:rFonts w:hint="eastAsia" w:ascii="宋体" w:hAnsi="宋体" w:eastAsia="宋体"/>
                <w:sz w:val="20"/>
                <w:szCs w:val="21"/>
              </w:rPr>
              <w:t>5.S基金估值概述及股权支付涉及的评估问题解读</w:t>
            </w:r>
          </w:p>
          <w:p>
            <w:pPr>
              <w:spacing w:line="260" w:lineRule="exact"/>
              <w:jc w:val="left"/>
              <w:rPr>
                <w:rFonts w:ascii="宋体" w:hAnsi="宋体" w:eastAsia="宋体"/>
                <w:sz w:val="20"/>
                <w:szCs w:val="21"/>
              </w:rPr>
            </w:pPr>
            <w:r>
              <w:rPr>
                <w:rFonts w:hint="eastAsia" w:ascii="宋体" w:hAnsi="宋体" w:eastAsia="宋体"/>
                <w:sz w:val="20"/>
                <w:szCs w:val="21"/>
              </w:rPr>
              <w:t>6.预期信用损失（ECL）概述、实务案例与应用</w:t>
            </w:r>
          </w:p>
          <w:p>
            <w:pPr>
              <w:spacing w:line="260" w:lineRule="exact"/>
              <w:jc w:val="left"/>
              <w:rPr>
                <w:rFonts w:ascii="宋体" w:hAnsi="宋体" w:eastAsia="宋体"/>
                <w:sz w:val="20"/>
                <w:szCs w:val="21"/>
              </w:rPr>
            </w:pPr>
            <w:r>
              <w:rPr>
                <w:rFonts w:hint="eastAsia" w:ascii="宋体" w:hAnsi="宋体" w:eastAsia="宋体"/>
                <w:sz w:val="20"/>
                <w:szCs w:val="21"/>
              </w:rPr>
              <w:t>7.或有对价与业绩承诺的估值实务与案例分析</w:t>
            </w:r>
          </w:p>
          <w:p>
            <w:pPr>
              <w:adjustRightInd w:val="0"/>
              <w:snapToGrid w:val="0"/>
              <w:rPr>
                <w:rFonts w:ascii="宋体" w:hAnsi="宋体" w:eastAsia="宋体"/>
                <w:sz w:val="20"/>
                <w:szCs w:val="20"/>
              </w:rPr>
            </w:pPr>
            <w:r>
              <w:rPr>
                <w:rFonts w:hint="eastAsia" w:ascii="宋体" w:hAnsi="宋体" w:eastAsia="宋体"/>
                <w:sz w:val="20"/>
                <w:szCs w:val="21"/>
              </w:rPr>
              <w:t>8.结构化理财产品的公允价值计量</w:t>
            </w:r>
          </w:p>
        </w:tc>
        <w:tc>
          <w:tcPr>
            <w:tcW w:w="1418" w:type="dxa"/>
            <w:shd w:val="clear" w:color="auto" w:fill="auto"/>
            <w:vAlign w:val="center"/>
          </w:tcPr>
          <w:p>
            <w:pPr>
              <w:spacing w:line="260" w:lineRule="exact"/>
              <w:rPr>
                <w:rFonts w:ascii="宋体" w:hAnsi="宋体" w:eastAsia="宋体"/>
                <w:sz w:val="20"/>
                <w:szCs w:val="20"/>
              </w:rPr>
            </w:pPr>
            <w:r>
              <w:rPr>
                <w:rFonts w:hint="eastAsia" w:ascii="宋体" w:hAnsi="宋体" w:eastAsia="宋体"/>
                <w:sz w:val="20"/>
                <w:szCs w:val="20"/>
              </w:rPr>
              <w:t>资产评估师</w:t>
            </w:r>
          </w:p>
        </w:tc>
        <w:tc>
          <w:tcPr>
            <w:tcW w:w="1461" w:type="dxa"/>
            <w:shd w:val="clear" w:color="auto" w:fill="auto"/>
            <w:vAlign w:val="center"/>
          </w:tcPr>
          <w:p>
            <w:pPr>
              <w:spacing w:line="280" w:lineRule="exact"/>
              <w:jc w:val="center"/>
              <w:rPr>
                <w:rFonts w:ascii="宋体" w:hAnsi="宋体" w:eastAsia="宋体"/>
                <w:sz w:val="20"/>
                <w:szCs w:val="20"/>
              </w:rPr>
            </w:pPr>
            <w:r>
              <w:rPr>
                <w:rFonts w:hint="eastAsia" w:ascii="宋体" w:hAnsi="宋体" w:eastAsia="宋体"/>
                <w:sz w:val="20"/>
                <w:szCs w:val="21"/>
              </w:rPr>
              <w:t>上海国家会计学院</w:t>
            </w:r>
          </w:p>
        </w:tc>
        <w:tc>
          <w:tcPr>
            <w:tcW w:w="807" w:type="dxa"/>
            <w:shd w:val="clear" w:color="auto" w:fill="auto"/>
            <w:vAlign w:val="center"/>
          </w:tcPr>
          <w:p>
            <w:pPr>
              <w:spacing w:line="280" w:lineRule="exact"/>
              <w:jc w:val="center"/>
              <w:rPr>
                <w:rFonts w:ascii="宋体" w:hAnsi="宋体" w:eastAsia="宋体"/>
                <w:sz w:val="20"/>
                <w:szCs w:val="20"/>
              </w:rPr>
            </w:pPr>
            <w:r>
              <w:rPr>
                <w:rFonts w:hint="eastAsia" w:ascii="宋体" w:hAnsi="宋体" w:eastAsia="宋体"/>
                <w:sz w:val="20"/>
                <w:szCs w:val="20"/>
              </w:rPr>
              <w:t>3</w:t>
            </w:r>
          </w:p>
        </w:tc>
        <w:tc>
          <w:tcPr>
            <w:tcW w:w="1275" w:type="dxa"/>
            <w:shd w:val="clear" w:color="auto" w:fill="auto"/>
            <w:vAlign w:val="center"/>
          </w:tcPr>
          <w:p>
            <w:pPr>
              <w:spacing w:line="280" w:lineRule="exact"/>
              <w:jc w:val="center"/>
              <w:rPr>
                <w:rFonts w:ascii="宋体" w:hAnsi="宋体" w:eastAsia="宋体"/>
                <w:sz w:val="20"/>
                <w:szCs w:val="21"/>
              </w:rPr>
            </w:pPr>
            <w:r>
              <w:rPr>
                <w:rFonts w:hint="eastAsia" w:ascii="宋体" w:hAnsi="宋体" w:eastAsia="宋体"/>
                <w:sz w:val="20"/>
                <w:szCs w:val="21"/>
              </w:rPr>
              <w:t>面授</w:t>
            </w:r>
          </w:p>
        </w:tc>
        <w:tc>
          <w:tcPr>
            <w:tcW w:w="1843" w:type="dxa"/>
            <w:shd w:val="clear" w:color="auto" w:fill="auto"/>
            <w:vAlign w:val="center"/>
          </w:tcPr>
          <w:p>
            <w:pPr>
              <w:spacing w:line="280" w:lineRule="exact"/>
              <w:jc w:val="center"/>
              <w:rPr>
                <w:rFonts w:ascii="宋体" w:hAnsi="宋体" w:eastAsia="宋体"/>
                <w:sz w:val="20"/>
                <w:szCs w:val="20"/>
              </w:rPr>
            </w:pPr>
            <w:r>
              <w:rPr>
                <w:rFonts w:hint="eastAsia" w:ascii="宋体" w:hAnsi="宋体" w:eastAsia="宋体"/>
                <w:sz w:val="20"/>
                <w:szCs w:val="20"/>
              </w:rPr>
              <w:t>9月19-21日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0" w:hRule="atLeast"/>
        </w:trPr>
        <w:tc>
          <w:tcPr>
            <w:tcW w:w="852" w:type="dxa"/>
            <w:shd w:val="clear" w:color="auto" w:fill="auto"/>
            <w:vAlign w:val="center"/>
          </w:tcPr>
          <w:p>
            <w:pPr>
              <w:spacing w:line="260" w:lineRule="exact"/>
              <w:jc w:val="center"/>
              <w:rPr>
                <w:rFonts w:ascii="宋体" w:hAnsi="宋体" w:eastAsia="宋体"/>
                <w:sz w:val="20"/>
                <w:szCs w:val="20"/>
              </w:rPr>
            </w:pPr>
            <w:r>
              <w:rPr>
                <w:rFonts w:hint="eastAsia" w:ascii="宋体" w:hAnsi="宋体" w:eastAsia="宋体"/>
                <w:sz w:val="20"/>
                <w:szCs w:val="20"/>
              </w:rPr>
              <w:t>11</w:t>
            </w:r>
          </w:p>
        </w:tc>
        <w:tc>
          <w:tcPr>
            <w:tcW w:w="2450" w:type="dxa"/>
            <w:shd w:val="clear" w:color="auto" w:fill="auto"/>
            <w:vAlign w:val="center"/>
          </w:tcPr>
          <w:p>
            <w:pPr>
              <w:spacing w:line="280" w:lineRule="exact"/>
              <w:jc w:val="left"/>
              <w:rPr>
                <w:rFonts w:ascii="宋体" w:hAnsi="宋体" w:eastAsia="宋体"/>
                <w:sz w:val="20"/>
                <w:szCs w:val="21"/>
              </w:rPr>
            </w:pPr>
            <w:r>
              <w:rPr>
                <w:rFonts w:hint="eastAsia" w:ascii="宋体" w:hAnsi="宋体" w:eastAsia="宋体"/>
                <w:sz w:val="20"/>
                <w:szCs w:val="21"/>
              </w:rPr>
              <w:t>并购重组评估研讨班</w:t>
            </w:r>
          </w:p>
        </w:tc>
        <w:tc>
          <w:tcPr>
            <w:tcW w:w="4766" w:type="dxa"/>
            <w:shd w:val="clear" w:color="auto" w:fill="auto"/>
            <w:vAlign w:val="center"/>
          </w:tcPr>
          <w:p>
            <w:pPr>
              <w:spacing w:line="260" w:lineRule="exact"/>
              <w:jc w:val="left"/>
              <w:rPr>
                <w:rFonts w:ascii="宋体" w:hAnsi="宋体" w:eastAsia="宋体"/>
                <w:sz w:val="20"/>
                <w:szCs w:val="20"/>
              </w:rPr>
            </w:pPr>
            <w:r>
              <w:rPr>
                <w:rFonts w:hint="eastAsia" w:ascii="宋体" w:hAnsi="宋体" w:eastAsia="宋体"/>
                <w:sz w:val="20"/>
                <w:szCs w:val="20"/>
              </w:rPr>
              <w:t>1.注册制下企业IPO及并购重组实务</w:t>
            </w:r>
          </w:p>
          <w:p>
            <w:pPr>
              <w:spacing w:line="260" w:lineRule="exact"/>
              <w:jc w:val="left"/>
              <w:rPr>
                <w:rFonts w:ascii="宋体" w:hAnsi="宋体" w:eastAsia="宋体"/>
                <w:sz w:val="20"/>
                <w:szCs w:val="20"/>
              </w:rPr>
            </w:pPr>
            <w:r>
              <w:rPr>
                <w:rFonts w:hint="eastAsia" w:ascii="宋体" w:hAnsi="宋体" w:eastAsia="宋体"/>
                <w:sz w:val="20"/>
                <w:szCs w:val="20"/>
              </w:rPr>
              <w:t>2.</w:t>
            </w:r>
            <w:r>
              <w:rPr>
                <w:rFonts w:hint="eastAsia" w:ascii="宋体" w:hAnsi="宋体" w:eastAsia="宋体"/>
                <w:kern w:val="0"/>
                <w:sz w:val="20"/>
                <w:szCs w:val="20"/>
              </w:rPr>
              <w:t>并购重组相关政策及监管重点</w:t>
            </w:r>
          </w:p>
          <w:p>
            <w:pPr>
              <w:spacing w:line="260" w:lineRule="exact"/>
              <w:jc w:val="left"/>
              <w:rPr>
                <w:rFonts w:ascii="宋体" w:hAnsi="宋体" w:eastAsia="宋体"/>
                <w:sz w:val="20"/>
                <w:szCs w:val="20"/>
              </w:rPr>
            </w:pPr>
            <w:r>
              <w:rPr>
                <w:rFonts w:hint="eastAsia" w:ascii="宋体" w:hAnsi="宋体" w:eastAsia="宋体"/>
                <w:sz w:val="20"/>
                <w:szCs w:val="20"/>
              </w:rPr>
              <w:t>3.并购重组的会计问题与审计实务</w:t>
            </w:r>
          </w:p>
          <w:p>
            <w:pPr>
              <w:spacing w:line="260" w:lineRule="exact"/>
              <w:jc w:val="left"/>
              <w:rPr>
                <w:rFonts w:ascii="宋体" w:hAnsi="宋体" w:eastAsia="宋体"/>
                <w:sz w:val="20"/>
                <w:szCs w:val="20"/>
              </w:rPr>
            </w:pPr>
            <w:r>
              <w:rPr>
                <w:rFonts w:hint="eastAsia" w:ascii="宋体" w:hAnsi="宋体" w:eastAsia="宋体"/>
                <w:sz w:val="20"/>
                <w:szCs w:val="20"/>
              </w:rPr>
              <w:t>4.并购重组与IPO过程中的税务问题</w:t>
            </w:r>
          </w:p>
          <w:p>
            <w:pPr>
              <w:spacing w:line="260" w:lineRule="exact"/>
              <w:jc w:val="left"/>
              <w:rPr>
                <w:rFonts w:ascii="宋体" w:hAnsi="宋体" w:eastAsia="宋体"/>
                <w:sz w:val="20"/>
                <w:szCs w:val="20"/>
              </w:rPr>
            </w:pPr>
            <w:r>
              <w:rPr>
                <w:rFonts w:hint="eastAsia" w:ascii="宋体" w:hAnsi="宋体" w:eastAsia="宋体"/>
                <w:sz w:val="20"/>
                <w:szCs w:val="20"/>
              </w:rPr>
              <w:t>5.并购重组企业价值评估和定价研究</w:t>
            </w:r>
          </w:p>
          <w:p>
            <w:pPr>
              <w:spacing w:line="260" w:lineRule="exact"/>
              <w:jc w:val="left"/>
              <w:rPr>
                <w:rFonts w:ascii="宋体" w:hAnsi="宋体" w:eastAsia="宋体"/>
                <w:sz w:val="20"/>
                <w:szCs w:val="20"/>
              </w:rPr>
            </w:pPr>
            <w:r>
              <w:rPr>
                <w:rFonts w:hint="eastAsia" w:ascii="宋体" w:hAnsi="宋体" w:eastAsia="宋体"/>
                <w:sz w:val="20"/>
                <w:szCs w:val="20"/>
              </w:rPr>
              <w:t>6.上市公司重大资产重组审计关注与评估要点</w:t>
            </w:r>
          </w:p>
          <w:p>
            <w:pPr>
              <w:spacing w:line="260" w:lineRule="exact"/>
              <w:jc w:val="left"/>
              <w:rPr>
                <w:rFonts w:ascii="宋体" w:hAnsi="宋体" w:eastAsia="宋体"/>
                <w:sz w:val="20"/>
                <w:szCs w:val="20"/>
              </w:rPr>
            </w:pPr>
            <w:r>
              <w:rPr>
                <w:rFonts w:hint="eastAsia" w:ascii="宋体" w:hAnsi="宋体" w:eastAsia="宋体"/>
                <w:sz w:val="20"/>
                <w:szCs w:val="20"/>
              </w:rPr>
              <w:t>7.《资产评估专家指引第13号——境外并购资产评估》解读</w:t>
            </w:r>
          </w:p>
        </w:tc>
        <w:tc>
          <w:tcPr>
            <w:tcW w:w="1418" w:type="dxa"/>
            <w:shd w:val="clear" w:color="auto" w:fill="auto"/>
            <w:vAlign w:val="center"/>
          </w:tcPr>
          <w:p>
            <w:pPr>
              <w:spacing w:line="260" w:lineRule="exact"/>
              <w:rPr>
                <w:rFonts w:ascii="宋体" w:hAnsi="宋体" w:eastAsia="宋体"/>
                <w:sz w:val="20"/>
                <w:szCs w:val="20"/>
              </w:rPr>
            </w:pPr>
            <w:r>
              <w:rPr>
                <w:rFonts w:hint="eastAsia" w:ascii="宋体" w:hAnsi="宋体" w:eastAsia="宋体"/>
                <w:sz w:val="20"/>
                <w:szCs w:val="20"/>
              </w:rPr>
              <w:t>资产评估师</w:t>
            </w:r>
          </w:p>
        </w:tc>
        <w:tc>
          <w:tcPr>
            <w:tcW w:w="1461" w:type="dxa"/>
            <w:shd w:val="clear" w:color="auto" w:fill="auto"/>
            <w:vAlign w:val="center"/>
          </w:tcPr>
          <w:p>
            <w:pPr>
              <w:spacing w:line="280" w:lineRule="exact"/>
              <w:jc w:val="center"/>
              <w:rPr>
                <w:rFonts w:ascii="宋体" w:hAnsi="宋体" w:eastAsia="宋体"/>
                <w:sz w:val="20"/>
                <w:szCs w:val="20"/>
              </w:rPr>
            </w:pPr>
            <w:r>
              <w:rPr>
                <w:rFonts w:hint="eastAsia" w:ascii="宋体" w:hAnsi="宋体" w:eastAsia="宋体"/>
                <w:sz w:val="20"/>
                <w:szCs w:val="21"/>
              </w:rPr>
              <w:t>北京国家会计学院</w:t>
            </w:r>
          </w:p>
        </w:tc>
        <w:tc>
          <w:tcPr>
            <w:tcW w:w="807" w:type="dxa"/>
            <w:shd w:val="clear" w:color="auto" w:fill="auto"/>
            <w:vAlign w:val="center"/>
          </w:tcPr>
          <w:p>
            <w:pPr>
              <w:spacing w:line="280" w:lineRule="exact"/>
              <w:jc w:val="center"/>
              <w:rPr>
                <w:rFonts w:ascii="宋体" w:hAnsi="宋体" w:eastAsia="宋体"/>
                <w:sz w:val="20"/>
                <w:szCs w:val="20"/>
              </w:rPr>
            </w:pPr>
            <w:r>
              <w:rPr>
                <w:rFonts w:hint="eastAsia" w:ascii="宋体" w:hAnsi="宋体" w:eastAsia="宋体"/>
                <w:sz w:val="20"/>
                <w:szCs w:val="20"/>
              </w:rPr>
              <w:t>3</w:t>
            </w:r>
          </w:p>
        </w:tc>
        <w:tc>
          <w:tcPr>
            <w:tcW w:w="1275" w:type="dxa"/>
            <w:shd w:val="clear" w:color="auto" w:fill="auto"/>
            <w:vAlign w:val="center"/>
          </w:tcPr>
          <w:p>
            <w:pPr>
              <w:spacing w:line="280" w:lineRule="exact"/>
              <w:jc w:val="center"/>
              <w:rPr>
                <w:rFonts w:ascii="宋体" w:hAnsi="宋体" w:eastAsia="宋体"/>
                <w:sz w:val="20"/>
                <w:szCs w:val="21"/>
              </w:rPr>
            </w:pPr>
            <w:r>
              <w:rPr>
                <w:rFonts w:hint="eastAsia" w:ascii="宋体" w:hAnsi="宋体" w:eastAsia="宋体"/>
                <w:sz w:val="20"/>
                <w:szCs w:val="21"/>
              </w:rPr>
              <w:t>面授</w:t>
            </w:r>
          </w:p>
        </w:tc>
        <w:tc>
          <w:tcPr>
            <w:tcW w:w="1843" w:type="dxa"/>
            <w:shd w:val="clear" w:color="auto" w:fill="auto"/>
            <w:vAlign w:val="center"/>
          </w:tcPr>
          <w:p>
            <w:pPr>
              <w:spacing w:line="280" w:lineRule="exact"/>
              <w:jc w:val="center"/>
              <w:rPr>
                <w:rFonts w:ascii="宋体" w:hAnsi="宋体" w:eastAsia="宋体"/>
                <w:sz w:val="20"/>
                <w:szCs w:val="20"/>
              </w:rPr>
            </w:pPr>
            <w:r>
              <w:rPr>
                <w:rFonts w:hint="eastAsia" w:ascii="宋体" w:hAnsi="宋体" w:eastAsia="宋体"/>
                <w:sz w:val="20"/>
                <w:szCs w:val="20"/>
              </w:rPr>
              <w:t>11月1日-3日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1" w:hRule="atLeast"/>
        </w:trPr>
        <w:tc>
          <w:tcPr>
            <w:tcW w:w="852" w:type="dxa"/>
            <w:shd w:val="clear" w:color="auto" w:fill="auto"/>
            <w:vAlign w:val="center"/>
          </w:tcPr>
          <w:p>
            <w:pPr>
              <w:spacing w:line="260" w:lineRule="exact"/>
              <w:jc w:val="center"/>
              <w:rPr>
                <w:rFonts w:ascii="宋体" w:hAnsi="宋体" w:eastAsia="宋体"/>
                <w:sz w:val="20"/>
                <w:szCs w:val="20"/>
              </w:rPr>
            </w:pPr>
            <w:r>
              <w:rPr>
                <w:rFonts w:hint="eastAsia" w:ascii="宋体" w:hAnsi="宋体" w:eastAsia="宋体"/>
                <w:sz w:val="20"/>
                <w:szCs w:val="20"/>
              </w:rPr>
              <w:t>12</w:t>
            </w:r>
          </w:p>
        </w:tc>
        <w:tc>
          <w:tcPr>
            <w:tcW w:w="2450" w:type="dxa"/>
            <w:shd w:val="clear" w:color="auto" w:fill="auto"/>
            <w:vAlign w:val="center"/>
          </w:tcPr>
          <w:p>
            <w:pPr>
              <w:spacing w:line="280" w:lineRule="exact"/>
              <w:jc w:val="left"/>
              <w:rPr>
                <w:rFonts w:ascii="宋体" w:hAnsi="宋体" w:eastAsia="宋体"/>
                <w:sz w:val="20"/>
                <w:szCs w:val="21"/>
              </w:rPr>
            </w:pPr>
            <w:r>
              <w:rPr>
                <w:rFonts w:hint="eastAsia" w:ascii="宋体" w:hAnsi="宋体" w:eastAsia="宋体"/>
                <w:sz w:val="20"/>
                <w:szCs w:val="21"/>
              </w:rPr>
              <w:t>珠宝评估培训班</w:t>
            </w:r>
          </w:p>
        </w:tc>
        <w:tc>
          <w:tcPr>
            <w:tcW w:w="4766" w:type="dxa"/>
            <w:shd w:val="clear" w:color="auto" w:fill="auto"/>
            <w:vAlign w:val="center"/>
          </w:tcPr>
          <w:p>
            <w:pPr>
              <w:adjustRightInd w:val="0"/>
              <w:snapToGrid w:val="0"/>
              <w:rPr>
                <w:rFonts w:ascii="宋体" w:hAnsi="宋体" w:eastAsia="宋体"/>
                <w:sz w:val="20"/>
                <w:szCs w:val="20"/>
              </w:rPr>
            </w:pPr>
            <w:r>
              <w:rPr>
                <w:rFonts w:hint="eastAsia" w:ascii="宋体" w:hAnsi="宋体" w:eastAsia="宋体"/>
                <w:sz w:val="20"/>
                <w:szCs w:val="20"/>
              </w:rPr>
              <w:t>1.与珠宝评估相关的评估准则解读</w:t>
            </w:r>
          </w:p>
          <w:p>
            <w:pPr>
              <w:adjustRightInd w:val="0"/>
              <w:snapToGrid w:val="0"/>
              <w:rPr>
                <w:rFonts w:ascii="宋体" w:hAnsi="宋体" w:eastAsia="宋体"/>
                <w:sz w:val="20"/>
                <w:szCs w:val="20"/>
              </w:rPr>
            </w:pPr>
            <w:r>
              <w:rPr>
                <w:rFonts w:hint="eastAsia" w:ascii="宋体" w:hAnsi="宋体" w:eastAsia="宋体"/>
                <w:sz w:val="20"/>
                <w:szCs w:val="20"/>
              </w:rPr>
              <w:t>2.资产评估法律责任及案例分析</w:t>
            </w:r>
          </w:p>
          <w:p>
            <w:pPr>
              <w:adjustRightInd w:val="0"/>
              <w:snapToGrid w:val="0"/>
              <w:rPr>
                <w:rFonts w:ascii="宋体" w:hAnsi="宋体" w:eastAsia="宋体"/>
                <w:sz w:val="20"/>
                <w:szCs w:val="20"/>
              </w:rPr>
            </w:pPr>
            <w:r>
              <w:rPr>
                <w:rFonts w:hint="eastAsia" w:ascii="宋体" w:hAnsi="宋体" w:eastAsia="宋体"/>
                <w:sz w:val="20"/>
                <w:szCs w:val="20"/>
              </w:rPr>
              <w:t>3.国有资产评估报告审核实务</w:t>
            </w:r>
          </w:p>
          <w:p>
            <w:pPr>
              <w:adjustRightInd w:val="0"/>
              <w:snapToGrid w:val="0"/>
              <w:rPr>
                <w:rFonts w:ascii="宋体" w:hAnsi="宋体" w:eastAsia="宋体"/>
                <w:sz w:val="20"/>
                <w:szCs w:val="20"/>
              </w:rPr>
            </w:pPr>
            <w:r>
              <w:rPr>
                <w:rFonts w:hint="eastAsia" w:ascii="宋体" w:hAnsi="宋体" w:eastAsia="宋体"/>
                <w:sz w:val="20"/>
                <w:szCs w:val="20"/>
              </w:rPr>
              <w:t>4.评估机构内控建设及管理</w:t>
            </w:r>
          </w:p>
          <w:p>
            <w:pPr>
              <w:adjustRightInd w:val="0"/>
              <w:snapToGrid w:val="0"/>
              <w:rPr>
                <w:rFonts w:ascii="宋体" w:hAnsi="宋体" w:eastAsia="宋体"/>
                <w:sz w:val="20"/>
                <w:szCs w:val="20"/>
              </w:rPr>
            </w:pPr>
            <w:r>
              <w:rPr>
                <w:rFonts w:hint="eastAsia" w:ascii="宋体" w:hAnsi="宋体" w:eastAsia="宋体"/>
                <w:sz w:val="20"/>
                <w:szCs w:val="20"/>
              </w:rPr>
              <w:t>5.珠宝评估案例分析</w:t>
            </w:r>
          </w:p>
          <w:p>
            <w:pPr>
              <w:adjustRightInd w:val="0"/>
              <w:snapToGrid w:val="0"/>
              <w:rPr>
                <w:rFonts w:ascii="宋体" w:hAnsi="宋体" w:eastAsia="宋体"/>
                <w:sz w:val="20"/>
                <w:szCs w:val="20"/>
              </w:rPr>
            </w:pPr>
            <w:r>
              <w:rPr>
                <w:rFonts w:hint="eastAsia" w:ascii="宋体" w:hAnsi="宋体" w:eastAsia="宋体"/>
                <w:sz w:val="20"/>
                <w:szCs w:val="20"/>
              </w:rPr>
              <w:t>6.古董珠宝评估</w:t>
            </w:r>
          </w:p>
        </w:tc>
        <w:tc>
          <w:tcPr>
            <w:tcW w:w="1418" w:type="dxa"/>
            <w:shd w:val="clear" w:color="auto" w:fill="auto"/>
            <w:vAlign w:val="center"/>
          </w:tcPr>
          <w:p>
            <w:pPr>
              <w:spacing w:line="260" w:lineRule="exact"/>
              <w:rPr>
                <w:rFonts w:ascii="宋体" w:hAnsi="宋体" w:eastAsia="宋体"/>
                <w:sz w:val="20"/>
                <w:szCs w:val="20"/>
              </w:rPr>
            </w:pPr>
            <w:r>
              <w:rPr>
                <w:rFonts w:hint="eastAsia" w:ascii="宋体" w:hAnsi="宋体" w:eastAsia="宋体"/>
                <w:sz w:val="20"/>
                <w:szCs w:val="20"/>
              </w:rPr>
              <w:t>资产评估师（珠宝）</w:t>
            </w:r>
          </w:p>
        </w:tc>
        <w:tc>
          <w:tcPr>
            <w:tcW w:w="1461" w:type="dxa"/>
            <w:shd w:val="clear" w:color="auto" w:fill="auto"/>
            <w:vAlign w:val="center"/>
          </w:tcPr>
          <w:p>
            <w:pPr>
              <w:spacing w:line="280" w:lineRule="exact"/>
              <w:jc w:val="center"/>
              <w:rPr>
                <w:rFonts w:ascii="宋体" w:hAnsi="宋体" w:eastAsia="宋体"/>
                <w:sz w:val="20"/>
                <w:szCs w:val="20"/>
              </w:rPr>
            </w:pPr>
            <w:r>
              <w:rPr>
                <w:rFonts w:hint="eastAsia" w:ascii="宋体" w:hAnsi="宋体" w:eastAsia="宋体"/>
                <w:sz w:val="20"/>
                <w:szCs w:val="20"/>
              </w:rPr>
              <w:t>云南财政干部教育培训基地</w:t>
            </w:r>
          </w:p>
        </w:tc>
        <w:tc>
          <w:tcPr>
            <w:tcW w:w="807" w:type="dxa"/>
            <w:shd w:val="clear" w:color="auto" w:fill="auto"/>
            <w:vAlign w:val="center"/>
          </w:tcPr>
          <w:p>
            <w:pPr>
              <w:spacing w:line="280" w:lineRule="exact"/>
              <w:jc w:val="center"/>
              <w:rPr>
                <w:rFonts w:ascii="宋体" w:hAnsi="宋体" w:eastAsia="宋体"/>
                <w:sz w:val="20"/>
                <w:szCs w:val="20"/>
              </w:rPr>
            </w:pPr>
            <w:r>
              <w:rPr>
                <w:rFonts w:hint="eastAsia" w:ascii="宋体" w:hAnsi="宋体" w:eastAsia="宋体"/>
                <w:sz w:val="20"/>
                <w:szCs w:val="20"/>
              </w:rPr>
              <w:t>3</w:t>
            </w:r>
          </w:p>
        </w:tc>
        <w:tc>
          <w:tcPr>
            <w:tcW w:w="1275" w:type="dxa"/>
            <w:shd w:val="clear" w:color="auto" w:fill="auto"/>
            <w:vAlign w:val="center"/>
          </w:tcPr>
          <w:p>
            <w:pPr>
              <w:spacing w:line="280" w:lineRule="exact"/>
              <w:jc w:val="center"/>
              <w:rPr>
                <w:rFonts w:ascii="宋体" w:hAnsi="宋体" w:eastAsia="宋体"/>
                <w:sz w:val="20"/>
                <w:szCs w:val="21"/>
              </w:rPr>
            </w:pPr>
            <w:r>
              <w:rPr>
                <w:rFonts w:hint="eastAsia" w:ascii="宋体" w:hAnsi="宋体" w:eastAsia="宋体"/>
                <w:sz w:val="20"/>
                <w:szCs w:val="21"/>
              </w:rPr>
              <w:t>面授</w:t>
            </w:r>
          </w:p>
        </w:tc>
        <w:tc>
          <w:tcPr>
            <w:tcW w:w="1843" w:type="dxa"/>
            <w:shd w:val="clear" w:color="auto" w:fill="auto"/>
            <w:vAlign w:val="center"/>
          </w:tcPr>
          <w:p>
            <w:pPr>
              <w:spacing w:line="280" w:lineRule="exact"/>
              <w:jc w:val="center"/>
              <w:rPr>
                <w:rFonts w:ascii="宋体" w:hAnsi="宋体" w:eastAsia="宋体"/>
                <w:sz w:val="20"/>
                <w:szCs w:val="20"/>
              </w:rPr>
            </w:pPr>
            <w:r>
              <w:rPr>
                <w:rFonts w:hint="eastAsia" w:ascii="宋体" w:hAnsi="宋体" w:eastAsia="宋体"/>
                <w:sz w:val="20"/>
                <w:szCs w:val="20"/>
              </w:rPr>
              <w:t>11月21-23日</w:t>
            </w:r>
          </w:p>
        </w:tc>
      </w:tr>
    </w:tbl>
    <w:p>
      <w:pPr>
        <w:jc w:val="left"/>
        <w:rPr>
          <w:rFonts w:hint="eastAsia" w:ascii="黑体" w:hAnsi="黑体" w:eastAsia="黑体"/>
        </w:rPr>
      </w:pPr>
    </w:p>
    <w:p>
      <w:pPr>
        <w:jc w:val="left"/>
        <w:rPr>
          <w:rFonts w:hint="eastAsia" w:ascii="黑体" w:hAnsi="黑体" w:eastAsia="黑体"/>
        </w:rPr>
      </w:pPr>
    </w:p>
    <w:p>
      <w:pPr>
        <w:jc w:val="left"/>
        <w:rPr>
          <w:rFonts w:hint="eastAsia" w:ascii="黑体" w:hAnsi="黑体" w:eastAsia="黑体"/>
        </w:rPr>
      </w:pPr>
    </w:p>
    <w:p>
      <w:pPr>
        <w:jc w:val="left"/>
        <w:rPr>
          <w:rFonts w:hint="eastAsia" w:ascii="黑体" w:hAnsi="黑体" w:eastAsia="黑体"/>
        </w:rPr>
      </w:pPr>
    </w:p>
    <w:p>
      <w:pPr>
        <w:jc w:val="left"/>
        <w:rPr>
          <w:rFonts w:hint="eastAsia" w:ascii="黑体" w:hAnsi="黑体" w:eastAsia="黑体"/>
        </w:rPr>
      </w:pPr>
    </w:p>
    <w:p>
      <w:pPr>
        <w:jc w:val="left"/>
        <w:rPr>
          <w:rFonts w:hint="eastAsia" w:ascii="黑体" w:hAnsi="黑体" w:eastAsia="黑体"/>
        </w:rPr>
      </w:pPr>
      <w:r>
        <w:rPr>
          <w:rFonts w:hint="eastAsia" w:ascii="黑体" w:hAnsi="黑体" w:eastAsia="黑体"/>
        </w:rPr>
        <w:t>二、人才培训班</w:t>
      </w:r>
    </w:p>
    <w:p>
      <w:pPr>
        <w:jc w:val="left"/>
        <w:rPr>
          <w:rFonts w:hint="eastAsia" w:ascii="黑体" w:hAnsi="黑体" w:eastAsia="黑体"/>
        </w:rPr>
      </w:pPr>
    </w:p>
    <w:p>
      <w:pPr>
        <w:jc w:val="left"/>
        <w:rPr>
          <w:rFonts w:hint="eastAsia" w:ascii="黑体" w:hAnsi="黑体" w:eastAsia="黑体"/>
        </w:rPr>
      </w:pPr>
    </w:p>
    <w:tbl>
      <w:tblPr>
        <w:tblStyle w:val="6"/>
        <w:tblpPr w:leftFromText="180" w:rightFromText="180" w:vertAnchor="page" w:horzAnchor="margin" w:tblpXSpec="center" w:tblpY="5891"/>
        <w:tblW w:w="148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2693"/>
        <w:gridCol w:w="4820"/>
        <w:gridCol w:w="2019"/>
        <w:gridCol w:w="1417"/>
        <w:gridCol w:w="1276"/>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blHeader/>
        </w:trPr>
        <w:tc>
          <w:tcPr>
            <w:tcW w:w="959" w:type="dxa"/>
            <w:shd w:val="clear" w:color="auto" w:fill="auto"/>
            <w:vAlign w:val="center"/>
          </w:tcPr>
          <w:p>
            <w:pPr>
              <w:spacing w:line="276" w:lineRule="auto"/>
              <w:jc w:val="center"/>
              <w:rPr>
                <w:rFonts w:ascii="宋体" w:hAnsi="宋体"/>
                <w:b/>
                <w:sz w:val="24"/>
                <w:szCs w:val="24"/>
              </w:rPr>
            </w:pPr>
            <w:r>
              <w:rPr>
                <w:rFonts w:hint="eastAsia" w:ascii="宋体" w:hAnsi="宋体"/>
                <w:b/>
                <w:sz w:val="24"/>
                <w:szCs w:val="24"/>
              </w:rPr>
              <w:t>序号</w:t>
            </w:r>
          </w:p>
        </w:tc>
        <w:tc>
          <w:tcPr>
            <w:tcW w:w="2693" w:type="dxa"/>
            <w:shd w:val="clear" w:color="auto" w:fill="auto"/>
            <w:vAlign w:val="center"/>
          </w:tcPr>
          <w:p>
            <w:pPr>
              <w:spacing w:line="276" w:lineRule="auto"/>
              <w:jc w:val="center"/>
              <w:rPr>
                <w:rFonts w:ascii="宋体" w:hAnsi="宋体"/>
                <w:b/>
                <w:sz w:val="24"/>
                <w:szCs w:val="24"/>
              </w:rPr>
            </w:pPr>
            <w:r>
              <w:rPr>
                <w:rFonts w:hint="eastAsia" w:ascii="宋体" w:hAnsi="宋体"/>
                <w:b/>
                <w:sz w:val="24"/>
                <w:szCs w:val="24"/>
              </w:rPr>
              <w:t>培训（研讨）班名称</w:t>
            </w:r>
          </w:p>
        </w:tc>
        <w:tc>
          <w:tcPr>
            <w:tcW w:w="4820" w:type="dxa"/>
            <w:shd w:val="clear" w:color="auto" w:fill="auto"/>
            <w:vAlign w:val="center"/>
          </w:tcPr>
          <w:p>
            <w:pPr>
              <w:spacing w:line="276" w:lineRule="auto"/>
              <w:jc w:val="center"/>
              <w:rPr>
                <w:rFonts w:ascii="宋体" w:hAnsi="宋体"/>
                <w:b/>
                <w:sz w:val="24"/>
                <w:szCs w:val="24"/>
              </w:rPr>
            </w:pPr>
            <w:r>
              <w:rPr>
                <w:rFonts w:hint="eastAsia" w:ascii="宋体" w:hAnsi="宋体"/>
                <w:b/>
                <w:sz w:val="24"/>
                <w:szCs w:val="24"/>
              </w:rPr>
              <w:t>培训内容</w:t>
            </w:r>
          </w:p>
        </w:tc>
        <w:tc>
          <w:tcPr>
            <w:tcW w:w="2019" w:type="dxa"/>
            <w:shd w:val="clear" w:color="auto" w:fill="auto"/>
            <w:vAlign w:val="center"/>
          </w:tcPr>
          <w:p>
            <w:pPr>
              <w:spacing w:line="276" w:lineRule="auto"/>
              <w:jc w:val="center"/>
              <w:rPr>
                <w:rFonts w:ascii="宋体" w:hAnsi="宋体"/>
                <w:b/>
                <w:sz w:val="24"/>
                <w:szCs w:val="24"/>
              </w:rPr>
            </w:pPr>
            <w:r>
              <w:rPr>
                <w:rFonts w:hint="eastAsia" w:ascii="宋体" w:hAnsi="宋体"/>
                <w:b/>
                <w:sz w:val="24"/>
                <w:szCs w:val="24"/>
              </w:rPr>
              <w:t>培训对象</w:t>
            </w:r>
          </w:p>
        </w:tc>
        <w:tc>
          <w:tcPr>
            <w:tcW w:w="1417" w:type="dxa"/>
            <w:shd w:val="clear" w:color="auto" w:fill="auto"/>
            <w:vAlign w:val="center"/>
          </w:tcPr>
          <w:p>
            <w:pPr>
              <w:spacing w:line="276" w:lineRule="auto"/>
              <w:jc w:val="center"/>
              <w:rPr>
                <w:rFonts w:ascii="宋体" w:hAnsi="宋体"/>
                <w:b/>
                <w:sz w:val="24"/>
                <w:szCs w:val="24"/>
              </w:rPr>
            </w:pPr>
            <w:r>
              <w:rPr>
                <w:rFonts w:hint="eastAsia" w:ascii="宋体" w:hAnsi="宋体"/>
                <w:b/>
                <w:sz w:val="24"/>
                <w:szCs w:val="24"/>
              </w:rPr>
              <w:t>培训地点</w:t>
            </w:r>
          </w:p>
        </w:tc>
        <w:tc>
          <w:tcPr>
            <w:tcW w:w="1276" w:type="dxa"/>
            <w:shd w:val="clear" w:color="auto" w:fill="auto"/>
            <w:vAlign w:val="center"/>
          </w:tcPr>
          <w:p>
            <w:pPr>
              <w:spacing w:line="276" w:lineRule="auto"/>
              <w:jc w:val="center"/>
              <w:rPr>
                <w:rFonts w:ascii="宋体" w:hAnsi="宋体"/>
                <w:b/>
                <w:sz w:val="24"/>
                <w:szCs w:val="24"/>
              </w:rPr>
            </w:pPr>
            <w:r>
              <w:rPr>
                <w:rFonts w:hint="eastAsia" w:ascii="宋体" w:hAnsi="宋体"/>
                <w:b/>
                <w:sz w:val="24"/>
                <w:szCs w:val="24"/>
              </w:rPr>
              <w:t>培训天数</w:t>
            </w:r>
          </w:p>
        </w:tc>
        <w:tc>
          <w:tcPr>
            <w:tcW w:w="1701" w:type="dxa"/>
            <w:shd w:val="clear" w:color="auto" w:fill="auto"/>
            <w:vAlign w:val="center"/>
          </w:tcPr>
          <w:p>
            <w:pPr>
              <w:spacing w:line="276" w:lineRule="auto"/>
              <w:jc w:val="center"/>
              <w:rPr>
                <w:rFonts w:ascii="宋体" w:hAnsi="宋体"/>
                <w:b/>
                <w:sz w:val="24"/>
                <w:szCs w:val="24"/>
              </w:rPr>
            </w:pPr>
            <w:r>
              <w:rPr>
                <w:rFonts w:hint="eastAsia" w:ascii="宋体" w:hAnsi="宋体"/>
                <w:b/>
                <w:sz w:val="24"/>
                <w:szCs w:val="24"/>
              </w:rPr>
              <w:t>预计培训时间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6" w:hRule="atLeast"/>
          <w:tblHeader/>
        </w:trPr>
        <w:tc>
          <w:tcPr>
            <w:tcW w:w="959" w:type="dxa"/>
            <w:shd w:val="clear" w:color="auto" w:fill="auto"/>
            <w:vAlign w:val="center"/>
          </w:tcPr>
          <w:p>
            <w:pPr>
              <w:spacing w:line="260" w:lineRule="exact"/>
              <w:jc w:val="center"/>
              <w:rPr>
                <w:rFonts w:ascii="宋体" w:hAnsi="宋体" w:eastAsia="宋体"/>
                <w:sz w:val="20"/>
                <w:szCs w:val="20"/>
              </w:rPr>
            </w:pPr>
            <w:r>
              <w:rPr>
                <w:rFonts w:hint="eastAsia" w:ascii="宋体" w:hAnsi="宋体" w:eastAsia="宋体"/>
                <w:sz w:val="20"/>
                <w:szCs w:val="20"/>
              </w:rPr>
              <w:t>13</w:t>
            </w:r>
          </w:p>
        </w:tc>
        <w:tc>
          <w:tcPr>
            <w:tcW w:w="2693" w:type="dxa"/>
            <w:shd w:val="clear" w:color="auto" w:fill="auto"/>
            <w:vAlign w:val="center"/>
          </w:tcPr>
          <w:p>
            <w:pPr>
              <w:spacing w:line="280" w:lineRule="exact"/>
              <w:jc w:val="left"/>
              <w:rPr>
                <w:rFonts w:ascii="宋体" w:hAnsi="宋体" w:eastAsia="宋体"/>
                <w:sz w:val="20"/>
                <w:szCs w:val="20"/>
              </w:rPr>
            </w:pPr>
            <w:r>
              <w:rPr>
                <w:rFonts w:hint="eastAsia" w:ascii="宋体" w:hAnsi="宋体" w:eastAsia="宋体"/>
                <w:sz w:val="20"/>
                <w:szCs w:val="20"/>
              </w:rPr>
              <w:t>第三批资产评估行业高端人才培养对象论文答辩</w:t>
            </w:r>
          </w:p>
        </w:tc>
        <w:tc>
          <w:tcPr>
            <w:tcW w:w="4820" w:type="dxa"/>
            <w:shd w:val="clear" w:color="auto" w:fill="auto"/>
            <w:vAlign w:val="center"/>
          </w:tcPr>
          <w:p>
            <w:pPr>
              <w:adjustRightInd w:val="0"/>
              <w:snapToGrid w:val="0"/>
              <w:spacing w:line="240" w:lineRule="exact"/>
              <w:rPr>
                <w:rFonts w:ascii="宋体" w:hAnsi="宋体" w:eastAsia="宋体"/>
                <w:sz w:val="20"/>
                <w:szCs w:val="21"/>
              </w:rPr>
            </w:pPr>
            <w:r>
              <w:rPr>
                <w:rFonts w:hint="eastAsia" w:ascii="宋体" w:hAnsi="宋体" w:eastAsia="宋体"/>
                <w:sz w:val="20"/>
                <w:szCs w:val="21"/>
              </w:rPr>
              <w:t>见第三批</w:t>
            </w:r>
            <w:r>
              <w:rPr>
                <w:rFonts w:hint="eastAsia" w:ascii="宋体" w:hAnsi="宋体" w:eastAsia="宋体"/>
                <w:sz w:val="20"/>
                <w:szCs w:val="20"/>
              </w:rPr>
              <w:t>资产评估行业高端人才培养方案</w:t>
            </w:r>
          </w:p>
        </w:tc>
        <w:tc>
          <w:tcPr>
            <w:tcW w:w="2019" w:type="dxa"/>
            <w:shd w:val="clear" w:color="auto" w:fill="auto"/>
            <w:vAlign w:val="center"/>
          </w:tcPr>
          <w:p>
            <w:pPr>
              <w:spacing w:line="280" w:lineRule="exact"/>
              <w:rPr>
                <w:rFonts w:ascii="宋体" w:hAnsi="宋体" w:eastAsia="宋体"/>
                <w:sz w:val="20"/>
                <w:szCs w:val="20"/>
              </w:rPr>
            </w:pPr>
            <w:r>
              <w:rPr>
                <w:rFonts w:hint="eastAsia" w:ascii="宋体" w:hAnsi="宋体" w:eastAsia="宋体"/>
                <w:sz w:val="20"/>
                <w:szCs w:val="20"/>
              </w:rPr>
              <w:t>第三批资产评估行业高端人才培养对象</w:t>
            </w:r>
          </w:p>
        </w:tc>
        <w:tc>
          <w:tcPr>
            <w:tcW w:w="1417" w:type="dxa"/>
            <w:shd w:val="clear" w:color="auto" w:fill="auto"/>
            <w:vAlign w:val="center"/>
          </w:tcPr>
          <w:p>
            <w:pPr>
              <w:spacing w:line="280" w:lineRule="exact"/>
              <w:jc w:val="center"/>
              <w:rPr>
                <w:rFonts w:ascii="宋体" w:hAnsi="宋体" w:eastAsia="宋体"/>
                <w:sz w:val="20"/>
                <w:szCs w:val="21"/>
              </w:rPr>
            </w:pPr>
            <w:r>
              <w:rPr>
                <w:rFonts w:hint="eastAsia" w:ascii="宋体" w:hAnsi="宋体" w:eastAsia="宋体"/>
                <w:sz w:val="20"/>
                <w:szCs w:val="21"/>
              </w:rPr>
              <w:t>上海国家会计学院</w:t>
            </w:r>
          </w:p>
        </w:tc>
        <w:tc>
          <w:tcPr>
            <w:tcW w:w="1276" w:type="dxa"/>
            <w:shd w:val="clear" w:color="auto" w:fill="auto"/>
            <w:vAlign w:val="center"/>
          </w:tcPr>
          <w:p>
            <w:pPr>
              <w:spacing w:line="280" w:lineRule="exact"/>
              <w:jc w:val="center"/>
              <w:rPr>
                <w:rFonts w:ascii="宋体" w:hAnsi="宋体" w:eastAsia="宋体"/>
                <w:sz w:val="20"/>
                <w:szCs w:val="21"/>
              </w:rPr>
            </w:pPr>
            <w:r>
              <w:rPr>
                <w:rFonts w:hint="eastAsia" w:ascii="宋体" w:hAnsi="宋体" w:eastAsia="宋体"/>
                <w:sz w:val="20"/>
                <w:szCs w:val="21"/>
              </w:rPr>
              <w:t>2</w:t>
            </w:r>
          </w:p>
        </w:tc>
        <w:tc>
          <w:tcPr>
            <w:tcW w:w="1701" w:type="dxa"/>
            <w:shd w:val="clear" w:color="auto" w:fill="auto"/>
            <w:vAlign w:val="center"/>
          </w:tcPr>
          <w:p>
            <w:pPr>
              <w:spacing w:line="280" w:lineRule="exact"/>
              <w:jc w:val="center"/>
              <w:rPr>
                <w:rFonts w:ascii="宋体" w:hAnsi="宋体" w:eastAsia="宋体"/>
                <w:sz w:val="20"/>
                <w:szCs w:val="21"/>
              </w:rPr>
            </w:pPr>
            <w:r>
              <w:rPr>
                <w:rFonts w:hint="eastAsia" w:ascii="宋体" w:hAnsi="宋体" w:eastAsia="宋体"/>
                <w:sz w:val="20"/>
                <w:szCs w:val="21"/>
              </w:rPr>
              <w:t>3月21-22日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9" w:hRule="atLeast"/>
          <w:tblHeader/>
        </w:trPr>
        <w:tc>
          <w:tcPr>
            <w:tcW w:w="959" w:type="dxa"/>
            <w:shd w:val="clear" w:color="auto" w:fill="auto"/>
            <w:vAlign w:val="center"/>
          </w:tcPr>
          <w:p>
            <w:pPr>
              <w:spacing w:line="260" w:lineRule="exact"/>
              <w:jc w:val="center"/>
              <w:rPr>
                <w:rFonts w:ascii="宋体" w:hAnsi="宋体" w:eastAsia="宋体"/>
                <w:sz w:val="20"/>
                <w:szCs w:val="20"/>
              </w:rPr>
            </w:pPr>
            <w:r>
              <w:rPr>
                <w:rFonts w:hint="eastAsia" w:ascii="宋体" w:hAnsi="宋体" w:eastAsia="宋体"/>
                <w:sz w:val="20"/>
                <w:szCs w:val="20"/>
              </w:rPr>
              <w:t>14</w:t>
            </w:r>
          </w:p>
        </w:tc>
        <w:tc>
          <w:tcPr>
            <w:tcW w:w="2693" w:type="dxa"/>
            <w:shd w:val="clear" w:color="auto" w:fill="auto"/>
            <w:vAlign w:val="center"/>
          </w:tcPr>
          <w:p>
            <w:pPr>
              <w:spacing w:line="280" w:lineRule="exact"/>
              <w:jc w:val="left"/>
              <w:rPr>
                <w:rFonts w:ascii="宋体" w:hAnsi="宋体" w:eastAsia="宋体"/>
                <w:sz w:val="20"/>
                <w:szCs w:val="20"/>
              </w:rPr>
            </w:pPr>
            <w:r>
              <w:rPr>
                <w:rFonts w:hint="eastAsia" w:ascii="宋体" w:hAnsi="宋体" w:eastAsia="宋体"/>
                <w:sz w:val="20"/>
                <w:szCs w:val="21"/>
              </w:rPr>
              <w:t>首席评估师培训班</w:t>
            </w:r>
          </w:p>
        </w:tc>
        <w:tc>
          <w:tcPr>
            <w:tcW w:w="4820" w:type="dxa"/>
            <w:shd w:val="clear" w:color="auto" w:fill="auto"/>
            <w:vAlign w:val="center"/>
          </w:tcPr>
          <w:p>
            <w:pPr>
              <w:adjustRightInd w:val="0"/>
              <w:snapToGrid w:val="0"/>
              <w:spacing w:line="240" w:lineRule="exact"/>
              <w:rPr>
                <w:rFonts w:ascii="宋体" w:hAnsi="宋体" w:eastAsia="宋体"/>
                <w:sz w:val="20"/>
                <w:szCs w:val="20"/>
              </w:rPr>
            </w:pPr>
            <w:r>
              <w:rPr>
                <w:rFonts w:hint="eastAsia" w:ascii="宋体" w:hAnsi="宋体" w:eastAsia="宋体"/>
                <w:sz w:val="20"/>
                <w:szCs w:val="20"/>
              </w:rPr>
              <w:t>1.资本市场评估业务监管新政策</w:t>
            </w:r>
          </w:p>
          <w:p>
            <w:pPr>
              <w:adjustRightInd w:val="0"/>
              <w:snapToGrid w:val="0"/>
              <w:spacing w:line="240" w:lineRule="exact"/>
              <w:rPr>
                <w:rFonts w:ascii="宋体" w:hAnsi="宋体" w:eastAsia="宋体"/>
                <w:sz w:val="20"/>
                <w:szCs w:val="20"/>
              </w:rPr>
            </w:pPr>
            <w:r>
              <w:rPr>
                <w:rFonts w:hint="eastAsia" w:ascii="宋体" w:hAnsi="宋体" w:eastAsia="宋体"/>
                <w:sz w:val="20"/>
                <w:szCs w:val="20"/>
              </w:rPr>
              <w:t>2.国有资产评估业务需求新动向</w:t>
            </w:r>
          </w:p>
          <w:p>
            <w:pPr>
              <w:adjustRightInd w:val="0"/>
              <w:snapToGrid w:val="0"/>
              <w:spacing w:line="240" w:lineRule="exact"/>
              <w:rPr>
                <w:rFonts w:ascii="宋体" w:hAnsi="宋体" w:eastAsia="宋体"/>
                <w:sz w:val="20"/>
                <w:szCs w:val="20"/>
              </w:rPr>
            </w:pPr>
            <w:r>
              <w:rPr>
                <w:rFonts w:hint="eastAsia" w:ascii="宋体" w:hAnsi="宋体" w:eastAsia="宋体"/>
                <w:sz w:val="20"/>
                <w:szCs w:val="20"/>
              </w:rPr>
              <w:t>3.证监会对评估、审计机构处罚案例解读</w:t>
            </w:r>
          </w:p>
          <w:p>
            <w:pPr>
              <w:adjustRightInd w:val="0"/>
              <w:snapToGrid w:val="0"/>
              <w:spacing w:line="240" w:lineRule="exact"/>
              <w:rPr>
                <w:rFonts w:ascii="宋体" w:hAnsi="宋体" w:eastAsia="宋体"/>
                <w:sz w:val="20"/>
                <w:szCs w:val="20"/>
              </w:rPr>
            </w:pPr>
            <w:r>
              <w:rPr>
                <w:rFonts w:hint="eastAsia" w:ascii="宋体" w:hAnsi="宋体" w:eastAsia="宋体"/>
                <w:sz w:val="20"/>
                <w:szCs w:val="20"/>
              </w:rPr>
              <w:t>4.资产评估机构内部治理体系与职业道德文化建设</w:t>
            </w:r>
          </w:p>
          <w:p>
            <w:pPr>
              <w:adjustRightInd w:val="0"/>
              <w:snapToGrid w:val="0"/>
              <w:spacing w:line="240" w:lineRule="exact"/>
              <w:rPr>
                <w:rFonts w:ascii="宋体" w:hAnsi="宋体" w:eastAsia="宋体"/>
                <w:sz w:val="20"/>
                <w:szCs w:val="20"/>
              </w:rPr>
            </w:pPr>
            <w:r>
              <w:rPr>
                <w:rFonts w:hint="eastAsia" w:ascii="宋体" w:hAnsi="宋体" w:eastAsia="宋体"/>
                <w:sz w:val="20"/>
                <w:szCs w:val="20"/>
              </w:rPr>
              <w:t>5.评估机构法律责任与风险防范</w:t>
            </w:r>
          </w:p>
        </w:tc>
        <w:tc>
          <w:tcPr>
            <w:tcW w:w="2019" w:type="dxa"/>
            <w:shd w:val="clear" w:color="auto" w:fill="auto"/>
            <w:vAlign w:val="center"/>
          </w:tcPr>
          <w:p>
            <w:pPr>
              <w:spacing w:line="280" w:lineRule="exact"/>
              <w:jc w:val="left"/>
              <w:rPr>
                <w:rFonts w:ascii="宋体" w:hAnsi="宋体" w:eastAsia="宋体"/>
                <w:b/>
                <w:sz w:val="20"/>
                <w:szCs w:val="20"/>
              </w:rPr>
            </w:pPr>
            <w:r>
              <w:rPr>
                <w:rFonts w:hint="eastAsia" w:ascii="宋体" w:hAnsi="宋体" w:eastAsia="宋体"/>
                <w:sz w:val="20"/>
                <w:szCs w:val="21"/>
              </w:rPr>
              <w:t>2022年行业综合排名前百家评估机构首席评估师</w:t>
            </w:r>
          </w:p>
        </w:tc>
        <w:tc>
          <w:tcPr>
            <w:tcW w:w="1417" w:type="dxa"/>
            <w:shd w:val="clear" w:color="auto" w:fill="auto"/>
            <w:vAlign w:val="center"/>
          </w:tcPr>
          <w:p>
            <w:pPr>
              <w:spacing w:line="280" w:lineRule="exact"/>
              <w:jc w:val="center"/>
              <w:rPr>
                <w:rFonts w:ascii="宋体" w:hAnsi="宋体" w:eastAsia="宋体"/>
                <w:sz w:val="20"/>
                <w:szCs w:val="21"/>
              </w:rPr>
            </w:pPr>
            <w:r>
              <w:rPr>
                <w:rFonts w:hint="eastAsia" w:ascii="宋体" w:hAnsi="宋体" w:eastAsia="宋体"/>
                <w:sz w:val="20"/>
                <w:szCs w:val="21"/>
              </w:rPr>
              <w:t>烟台财会培训中心</w:t>
            </w:r>
          </w:p>
        </w:tc>
        <w:tc>
          <w:tcPr>
            <w:tcW w:w="1276" w:type="dxa"/>
            <w:shd w:val="clear" w:color="auto" w:fill="auto"/>
            <w:vAlign w:val="center"/>
          </w:tcPr>
          <w:p>
            <w:pPr>
              <w:spacing w:line="280" w:lineRule="exact"/>
              <w:jc w:val="center"/>
              <w:rPr>
                <w:rFonts w:ascii="宋体" w:hAnsi="宋体" w:eastAsia="宋体"/>
                <w:sz w:val="20"/>
                <w:szCs w:val="21"/>
              </w:rPr>
            </w:pPr>
            <w:r>
              <w:rPr>
                <w:rFonts w:hint="eastAsia" w:ascii="宋体" w:hAnsi="宋体" w:eastAsia="宋体"/>
                <w:sz w:val="20"/>
                <w:szCs w:val="21"/>
              </w:rPr>
              <w:t>3</w:t>
            </w:r>
          </w:p>
        </w:tc>
        <w:tc>
          <w:tcPr>
            <w:tcW w:w="1701" w:type="dxa"/>
            <w:shd w:val="clear" w:color="auto" w:fill="auto"/>
            <w:vAlign w:val="center"/>
          </w:tcPr>
          <w:p>
            <w:pPr>
              <w:spacing w:line="280" w:lineRule="exact"/>
              <w:jc w:val="center"/>
              <w:rPr>
                <w:rFonts w:ascii="宋体" w:hAnsi="宋体" w:eastAsia="宋体"/>
                <w:sz w:val="20"/>
                <w:szCs w:val="20"/>
              </w:rPr>
            </w:pPr>
            <w:r>
              <w:rPr>
                <w:rFonts w:hint="eastAsia" w:ascii="宋体" w:hAnsi="宋体" w:eastAsia="宋体"/>
                <w:sz w:val="20"/>
                <w:szCs w:val="20"/>
              </w:rPr>
              <w:t>4月18-20日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blHeader/>
        </w:trPr>
        <w:tc>
          <w:tcPr>
            <w:tcW w:w="959" w:type="dxa"/>
            <w:shd w:val="clear" w:color="auto" w:fill="auto"/>
            <w:vAlign w:val="center"/>
          </w:tcPr>
          <w:p>
            <w:pPr>
              <w:spacing w:line="260" w:lineRule="exact"/>
              <w:jc w:val="center"/>
              <w:rPr>
                <w:rFonts w:ascii="宋体" w:hAnsi="宋体" w:eastAsia="宋体"/>
                <w:sz w:val="20"/>
                <w:szCs w:val="20"/>
              </w:rPr>
            </w:pPr>
            <w:r>
              <w:rPr>
                <w:rFonts w:hint="eastAsia" w:ascii="宋体" w:hAnsi="宋体"/>
                <w:b/>
                <w:sz w:val="24"/>
                <w:szCs w:val="24"/>
              </w:rPr>
              <w:t>序号</w:t>
            </w:r>
          </w:p>
        </w:tc>
        <w:tc>
          <w:tcPr>
            <w:tcW w:w="2693" w:type="dxa"/>
            <w:shd w:val="clear" w:color="auto" w:fill="auto"/>
            <w:vAlign w:val="center"/>
          </w:tcPr>
          <w:p>
            <w:pPr>
              <w:spacing w:line="280" w:lineRule="exact"/>
              <w:jc w:val="center"/>
              <w:rPr>
                <w:rFonts w:ascii="宋体" w:hAnsi="宋体" w:eastAsia="宋体"/>
                <w:sz w:val="20"/>
                <w:szCs w:val="20"/>
              </w:rPr>
            </w:pPr>
            <w:r>
              <w:rPr>
                <w:rFonts w:hint="eastAsia" w:ascii="宋体" w:hAnsi="宋体"/>
                <w:b/>
                <w:sz w:val="24"/>
                <w:szCs w:val="24"/>
              </w:rPr>
              <w:t>培训（研讨）班名称</w:t>
            </w:r>
          </w:p>
        </w:tc>
        <w:tc>
          <w:tcPr>
            <w:tcW w:w="4820" w:type="dxa"/>
            <w:shd w:val="clear" w:color="auto" w:fill="auto"/>
            <w:vAlign w:val="center"/>
          </w:tcPr>
          <w:p>
            <w:pPr>
              <w:adjustRightInd w:val="0"/>
              <w:snapToGrid w:val="0"/>
              <w:spacing w:line="240" w:lineRule="exact"/>
              <w:jc w:val="center"/>
              <w:rPr>
                <w:rFonts w:ascii="宋体" w:hAnsi="宋体" w:eastAsia="宋体"/>
                <w:sz w:val="20"/>
                <w:szCs w:val="20"/>
              </w:rPr>
            </w:pPr>
            <w:r>
              <w:rPr>
                <w:rFonts w:hint="eastAsia" w:ascii="宋体" w:hAnsi="宋体"/>
                <w:b/>
                <w:sz w:val="24"/>
                <w:szCs w:val="24"/>
              </w:rPr>
              <w:t>培训内容</w:t>
            </w:r>
          </w:p>
        </w:tc>
        <w:tc>
          <w:tcPr>
            <w:tcW w:w="2019" w:type="dxa"/>
            <w:shd w:val="clear" w:color="auto" w:fill="auto"/>
            <w:vAlign w:val="center"/>
          </w:tcPr>
          <w:p>
            <w:pPr>
              <w:spacing w:line="280" w:lineRule="exact"/>
              <w:jc w:val="center"/>
              <w:rPr>
                <w:rFonts w:ascii="宋体" w:hAnsi="宋体" w:eastAsia="宋体"/>
                <w:sz w:val="20"/>
                <w:szCs w:val="20"/>
              </w:rPr>
            </w:pPr>
            <w:r>
              <w:rPr>
                <w:rFonts w:hint="eastAsia" w:ascii="宋体" w:hAnsi="宋体"/>
                <w:b/>
                <w:sz w:val="24"/>
                <w:szCs w:val="24"/>
              </w:rPr>
              <w:t>培训对象</w:t>
            </w:r>
          </w:p>
        </w:tc>
        <w:tc>
          <w:tcPr>
            <w:tcW w:w="1417" w:type="dxa"/>
            <w:shd w:val="clear" w:color="auto" w:fill="auto"/>
            <w:vAlign w:val="center"/>
          </w:tcPr>
          <w:p>
            <w:pPr>
              <w:spacing w:line="280" w:lineRule="exact"/>
              <w:jc w:val="center"/>
              <w:rPr>
                <w:rFonts w:ascii="宋体" w:hAnsi="宋体" w:eastAsia="宋体"/>
                <w:sz w:val="20"/>
                <w:szCs w:val="21"/>
              </w:rPr>
            </w:pPr>
            <w:r>
              <w:rPr>
                <w:rFonts w:hint="eastAsia" w:ascii="宋体" w:hAnsi="宋体"/>
                <w:b/>
                <w:sz w:val="24"/>
                <w:szCs w:val="24"/>
              </w:rPr>
              <w:t>培训地点</w:t>
            </w:r>
          </w:p>
        </w:tc>
        <w:tc>
          <w:tcPr>
            <w:tcW w:w="1276" w:type="dxa"/>
            <w:shd w:val="clear" w:color="auto" w:fill="auto"/>
            <w:vAlign w:val="center"/>
          </w:tcPr>
          <w:p>
            <w:pPr>
              <w:spacing w:line="280" w:lineRule="exact"/>
              <w:jc w:val="center"/>
              <w:rPr>
                <w:rFonts w:ascii="宋体" w:hAnsi="宋体" w:eastAsia="宋体"/>
                <w:sz w:val="20"/>
                <w:szCs w:val="21"/>
              </w:rPr>
            </w:pPr>
            <w:r>
              <w:rPr>
                <w:rFonts w:hint="eastAsia" w:ascii="宋体" w:hAnsi="宋体"/>
                <w:b/>
                <w:sz w:val="24"/>
                <w:szCs w:val="24"/>
              </w:rPr>
              <w:t>培训天数</w:t>
            </w:r>
          </w:p>
        </w:tc>
        <w:tc>
          <w:tcPr>
            <w:tcW w:w="1701" w:type="dxa"/>
            <w:shd w:val="clear" w:color="auto" w:fill="auto"/>
            <w:vAlign w:val="center"/>
          </w:tcPr>
          <w:p>
            <w:pPr>
              <w:spacing w:line="280" w:lineRule="exact"/>
              <w:jc w:val="center"/>
              <w:rPr>
                <w:rFonts w:ascii="宋体" w:hAnsi="宋体" w:eastAsia="宋体"/>
                <w:sz w:val="20"/>
                <w:szCs w:val="21"/>
              </w:rPr>
            </w:pPr>
            <w:r>
              <w:rPr>
                <w:rFonts w:hint="eastAsia" w:ascii="宋体" w:hAnsi="宋体"/>
                <w:b/>
                <w:sz w:val="24"/>
                <w:szCs w:val="24"/>
              </w:rPr>
              <w:t>预计培训时间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2" w:hRule="atLeast"/>
          <w:tblHeader/>
        </w:trPr>
        <w:tc>
          <w:tcPr>
            <w:tcW w:w="959" w:type="dxa"/>
            <w:shd w:val="clear" w:color="auto" w:fill="auto"/>
            <w:vAlign w:val="center"/>
          </w:tcPr>
          <w:p>
            <w:pPr>
              <w:spacing w:line="260" w:lineRule="exact"/>
              <w:jc w:val="center"/>
              <w:rPr>
                <w:rFonts w:ascii="宋体" w:hAnsi="宋体" w:eastAsia="宋体"/>
                <w:sz w:val="20"/>
                <w:szCs w:val="20"/>
              </w:rPr>
            </w:pPr>
            <w:r>
              <w:rPr>
                <w:rFonts w:hint="eastAsia" w:ascii="宋体" w:hAnsi="宋体" w:eastAsia="宋体"/>
                <w:sz w:val="20"/>
                <w:szCs w:val="20"/>
              </w:rPr>
              <w:t>15</w:t>
            </w:r>
          </w:p>
        </w:tc>
        <w:tc>
          <w:tcPr>
            <w:tcW w:w="2693" w:type="dxa"/>
            <w:shd w:val="clear" w:color="auto" w:fill="auto"/>
            <w:vAlign w:val="center"/>
          </w:tcPr>
          <w:p>
            <w:pPr>
              <w:spacing w:line="280" w:lineRule="exact"/>
              <w:jc w:val="left"/>
              <w:rPr>
                <w:rFonts w:ascii="宋体" w:hAnsi="宋体" w:eastAsia="宋体"/>
                <w:sz w:val="20"/>
                <w:szCs w:val="20"/>
              </w:rPr>
            </w:pPr>
            <w:r>
              <w:rPr>
                <w:rFonts w:hint="eastAsia" w:ascii="宋体" w:hAnsi="宋体" w:eastAsia="宋体"/>
                <w:sz w:val="20"/>
                <w:szCs w:val="20"/>
              </w:rPr>
              <w:t>资产评估机构负责人培训班</w:t>
            </w:r>
          </w:p>
        </w:tc>
        <w:tc>
          <w:tcPr>
            <w:tcW w:w="4820" w:type="dxa"/>
            <w:shd w:val="clear" w:color="auto" w:fill="auto"/>
            <w:vAlign w:val="center"/>
          </w:tcPr>
          <w:p>
            <w:pPr>
              <w:adjustRightInd w:val="0"/>
              <w:snapToGrid w:val="0"/>
              <w:spacing w:line="240" w:lineRule="exact"/>
              <w:rPr>
                <w:rFonts w:ascii="宋体" w:hAnsi="宋体" w:eastAsia="宋体"/>
                <w:sz w:val="20"/>
                <w:szCs w:val="20"/>
              </w:rPr>
            </w:pPr>
            <w:r>
              <w:rPr>
                <w:rFonts w:hint="eastAsia" w:ascii="宋体" w:hAnsi="宋体" w:eastAsia="宋体"/>
                <w:sz w:val="20"/>
                <w:szCs w:val="20"/>
              </w:rPr>
              <w:t>1.国有资产管理和国有资产评估相关政策解读</w:t>
            </w:r>
          </w:p>
          <w:p>
            <w:pPr>
              <w:adjustRightInd w:val="0"/>
              <w:snapToGrid w:val="0"/>
              <w:spacing w:line="240" w:lineRule="exact"/>
              <w:rPr>
                <w:rFonts w:ascii="宋体" w:hAnsi="宋体" w:eastAsia="宋体"/>
                <w:sz w:val="20"/>
                <w:szCs w:val="20"/>
              </w:rPr>
            </w:pPr>
            <w:r>
              <w:rPr>
                <w:rFonts w:hint="eastAsia" w:ascii="宋体" w:hAnsi="宋体" w:eastAsia="宋体"/>
                <w:sz w:val="20"/>
                <w:szCs w:val="20"/>
              </w:rPr>
              <w:t>2.评估机构从事证券服务业务相关政策解读</w:t>
            </w:r>
          </w:p>
          <w:p>
            <w:pPr>
              <w:adjustRightInd w:val="0"/>
              <w:snapToGrid w:val="0"/>
              <w:spacing w:line="240" w:lineRule="exact"/>
              <w:rPr>
                <w:rFonts w:ascii="宋体" w:hAnsi="宋体" w:eastAsia="宋体"/>
                <w:sz w:val="20"/>
                <w:szCs w:val="20"/>
              </w:rPr>
            </w:pPr>
            <w:r>
              <w:rPr>
                <w:rFonts w:hint="eastAsia" w:ascii="宋体" w:hAnsi="宋体" w:eastAsia="宋体"/>
                <w:sz w:val="20"/>
                <w:szCs w:val="20"/>
              </w:rPr>
              <w:t>3.财政监督管理检查重点要点</w:t>
            </w:r>
          </w:p>
          <w:p>
            <w:pPr>
              <w:adjustRightInd w:val="0"/>
              <w:snapToGrid w:val="0"/>
              <w:spacing w:line="240" w:lineRule="exact"/>
              <w:rPr>
                <w:rFonts w:ascii="宋体" w:hAnsi="宋体" w:eastAsia="宋体"/>
                <w:sz w:val="20"/>
                <w:szCs w:val="20"/>
              </w:rPr>
            </w:pPr>
            <w:r>
              <w:rPr>
                <w:rFonts w:hint="eastAsia" w:ascii="宋体" w:hAnsi="宋体" w:eastAsia="宋体"/>
                <w:sz w:val="20"/>
                <w:szCs w:val="20"/>
              </w:rPr>
              <w:t>4.评估机构薪酬体系与绩效评价</w:t>
            </w:r>
          </w:p>
          <w:p>
            <w:pPr>
              <w:adjustRightInd w:val="0"/>
              <w:snapToGrid w:val="0"/>
              <w:spacing w:line="240" w:lineRule="exact"/>
              <w:rPr>
                <w:rFonts w:ascii="宋体" w:hAnsi="宋体" w:eastAsia="宋体"/>
                <w:sz w:val="20"/>
                <w:szCs w:val="20"/>
              </w:rPr>
            </w:pPr>
            <w:r>
              <w:rPr>
                <w:rFonts w:hint="eastAsia" w:ascii="宋体" w:hAnsi="宋体" w:eastAsia="宋体"/>
                <w:sz w:val="20"/>
                <w:szCs w:val="20"/>
              </w:rPr>
              <w:t>5.资产评估新业务探讨</w:t>
            </w:r>
          </w:p>
          <w:p>
            <w:pPr>
              <w:adjustRightInd w:val="0"/>
              <w:snapToGrid w:val="0"/>
              <w:spacing w:line="240" w:lineRule="exact"/>
              <w:rPr>
                <w:rFonts w:ascii="宋体" w:hAnsi="宋体" w:eastAsia="宋体"/>
                <w:sz w:val="20"/>
                <w:szCs w:val="21"/>
              </w:rPr>
            </w:pPr>
            <w:r>
              <w:rPr>
                <w:rFonts w:hint="eastAsia" w:ascii="宋体" w:hAnsi="宋体" w:eastAsia="宋体"/>
                <w:sz w:val="20"/>
                <w:szCs w:val="20"/>
              </w:rPr>
              <w:t>6.评估机构行业发展热点问题研讨</w:t>
            </w:r>
          </w:p>
        </w:tc>
        <w:tc>
          <w:tcPr>
            <w:tcW w:w="2019" w:type="dxa"/>
            <w:shd w:val="clear" w:color="auto" w:fill="auto"/>
            <w:vAlign w:val="center"/>
          </w:tcPr>
          <w:p>
            <w:pPr>
              <w:spacing w:line="280" w:lineRule="exact"/>
              <w:rPr>
                <w:rFonts w:ascii="宋体" w:hAnsi="宋体" w:eastAsia="宋体"/>
                <w:sz w:val="20"/>
                <w:szCs w:val="20"/>
              </w:rPr>
            </w:pPr>
            <w:r>
              <w:rPr>
                <w:rFonts w:hint="eastAsia" w:ascii="宋体" w:hAnsi="宋体" w:eastAsia="宋体"/>
                <w:sz w:val="20"/>
                <w:szCs w:val="20"/>
              </w:rPr>
              <w:t>2022年行业综合排名前百家评估机构负责人、从事证券服务业务资产评估机构负责人</w:t>
            </w:r>
          </w:p>
        </w:tc>
        <w:tc>
          <w:tcPr>
            <w:tcW w:w="1417" w:type="dxa"/>
            <w:shd w:val="clear" w:color="auto" w:fill="auto"/>
            <w:vAlign w:val="center"/>
          </w:tcPr>
          <w:p>
            <w:pPr>
              <w:spacing w:line="280" w:lineRule="exact"/>
              <w:jc w:val="center"/>
              <w:rPr>
                <w:rFonts w:ascii="宋体" w:hAnsi="宋体" w:eastAsia="宋体"/>
                <w:sz w:val="20"/>
                <w:szCs w:val="21"/>
              </w:rPr>
            </w:pPr>
            <w:r>
              <w:rPr>
                <w:rFonts w:hint="eastAsia" w:ascii="宋体" w:hAnsi="宋体" w:eastAsia="宋体"/>
                <w:sz w:val="20"/>
                <w:szCs w:val="21"/>
              </w:rPr>
              <w:t>云南财政干部教育培训基地</w:t>
            </w:r>
          </w:p>
        </w:tc>
        <w:tc>
          <w:tcPr>
            <w:tcW w:w="1276" w:type="dxa"/>
            <w:shd w:val="clear" w:color="auto" w:fill="auto"/>
            <w:vAlign w:val="center"/>
          </w:tcPr>
          <w:p>
            <w:pPr>
              <w:spacing w:line="280" w:lineRule="exact"/>
              <w:jc w:val="center"/>
              <w:rPr>
                <w:rFonts w:ascii="宋体" w:hAnsi="宋体" w:eastAsia="宋体"/>
                <w:sz w:val="20"/>
                <w:szCs w:val="21"/>
              </w:rPr>
            </w:pPr>
            <w:r>
              <w:rPr>
                <w:rFonts w:hint="eastAsia" w:ascii="宋体" w:hAnsi="宋体" w:eastAsia="宋体"/>
                <w:sz w:val="20"/>
                <w:szCs w:val="21"/>
              </w:rPr>
              <w:t>3</w:t>
            </w:r>
          </w:p>
        </w:tc>
        <w:tc>
          <w:tcPr>
            <w:tcW w:w="1701" w:type="dxa"/>
            <w:shd w:val="clear" w:color="auto" w:fill="auto"/>
            <w:vAlign w:val="center"/>
          </w:tcPr>
          <w:p>
            <w:pPr>
              <w:spacing w:line="280" w:lineRule="exact"/>
              <w:jc w:val="center"/>
              <w:rPr>
                <w:rFonts w:ascii="宋体" w:hAnsi="宋体" w:eastAsia="宋体"/>
                <w:sz w:val="20"/>
                <w:szCs w:val="21"/>
              </w:rPr>
            </w:pPr>
            <w:r>
              <w:rPr>
                <w:rFonts w:hint="eastAsia" w:ascii="宋体" w:hAnsi="宋体" w:eastAsia="宋体"/>
                <w:sz w:val="20"/>
                <w:szCs w:val="21"/>
              </w:rPr>
              <w:t>6月6日-8日</w:t>
            </w:r>
            <w:r>
              <w:rPr>
                <w:rFonts w:ascii="宋体" w:hAnsi="宋体" w:eastAsia="宋体"/>
                <w:sz w:val="2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8" w:hRule="atLeast"/>
          <w:tblHeader/>
        </w:trPr>
        <w:tc>
          <w:tcPr>
            <w:tcW w:w="959" w:type="dxa"/>
            <w:shd w:val="clear" w:color="auto" w:fill="auto"/>
            <w:vAlign w:val="center"/>
          </w:tcPr>
          <w:p>
            <w:pPr>
              <w:spacing w:line="260" w:lineRule="exact"/>
              <w:jc w:val="center"/>
              <w:rPr>
                <w:rFonts w:ascii="宋体" w:hAnsi="宋体" w:eastAsia="宋体"/>
                <w:sz w:val="20"/>
                <w:szCs w:val="20"/>
              </w:rPr>
            </w:pPr>
            <w:r>
              <w:rPr>
                <w:rFonts w:hint="eastAsia" w:ascii="宋体" w:hAnsi="宋体" w:eastAsia="宋体"/>
                <w:sz w:val="20"/>
                <w:szCs w:val="20"/>
              </w:rPr>
              <w:t>16</w:t>
            </w:r>
          </w:p>
        </w:tc>
        <w:tc>
          <w:tcPr>
            <w:tcW w:w="2693" w:type="dxa"/>
            <w:shd w:val="clear" w:color="auto" w:fill="auto"/>
            <w:vAlign w:val="center"/>
          </w:tcPr>
          <w:p>
            <w:pPr>
              <w:spacing w:line="280" w:lineRule="exact"/>
              <w:jc w:val="left"/>
              <w:rPr>
                <w:rFonts w:ascii="宋体" w:hAnsi="宋体" w:eastAsia="宋体"/>
                <w:sz w:val="20"/>
                <w:szCs w:val="20"/>
              </w:rPr>
            </w:pPr>
            <w:r>
              <w:rPr>
                <w:rFonts w:hint="eastAsia" w:ascii="宋体" w:hAnsi="宋体" w:eastAsia="宋体"/>
                <w:sz w:val="20"/>
                <w:szCs w:val="20"/>
              </w:rPr>
              <w:t>清华大学第十六期资产评估高级研修班</w:t>
            </w:r>
          </w:p>
        </w:tc>
        <w:tc>
          <w:tcPr>
            <w:tcW w:w="4820" w:type="dxa"/>
            <w:shd w:val="clear" w:color="auto" w:fill="auto"/>
            <w:vAlign w:val="center"/>
          </w:tcPr>
          <w:p>
            <w:pPr>
              <w:adjustRightInd w:val="0"/>
              <w:snapToGrid w:val="0"/>
              <w:spacing w:line="240" w:lineRule="exact"/>
              <w:rPr>
                <w:rFonts w:ascii="宋体" w:hAnsi="宋体" w:eastAsia="宋体"/>
                <w:sz w:val="20"/>
                <w:szCs w:val="20"/>
              </w:rPr>
            </w:pPr>
            <w:r>
              <w:rPr>
                <w:rFonts w:hint="eastAsia" w:ascii="宋体" w:hAnsi="宋体" w:eastAsia="宋体"/>
                <w:sz w:val="20"/>
                <w:szCs w:val="20"/>
              </w:rPr>
              <w:t>1.党的二十大精神解读</w:t>
            </w:r>
          </w:p>
          <w:p>
            <w:pPr>
              <w:adjustRightInd w:val="0"/>
              <w:snapToGrid w:val="0"/>
              <w:spacing w:line="240" w:lineRule="exact"/>
              <w:rPr>
                <w:rFonts w:ascii="宋体" w:hAnsi="宋体" w:eastAsia="宋体"/>
                <w:sz w:val="20"/>
                <w:szCs w:val="20"/>
              </w:rPr>
            </w:pPr>
            <w:r>
              <w:rPr>
                <w:rFonts w:hint="eastAsia" w:ascii="宋体" w:hAnsi="宋体" w:eastAsia="宋体"/>
                <w:sz w:val="20"/>
                <w:szCs w:val="20"/>
              </w:rPr>
              <w:t>2.财税体制改革与资产评估</w:t>
            </w:r>
          </w:p>
          <w:p>
            <w:pPr>
              <w:adjustRightInd w:val="0"/>
              <w:snapToGrid w:val="0"/>
              <w:spacing w:line="240" w:lineRule="exact"/>
              <w:rPr>
                <w:rFonts w:ascii="宋体" w:hAnsi="宋体" w:eastAsia="宋体"/>
                <w:sz w:val="20"/>
                <w:szCs w:val="20"/>
              </w:rPr>
            </w:pPr>
            <w:r>
              <w:rPr>
                <w:rFonts w:hint="eastAsia" w:ascii="宋体" w:hAnsi="宋体" w:eastAsia="宋体"/>
                <w:sz w:val="20"/>
                <w:szCs w:val="20"/>
              </w:rPr>
              <w:t>3.评估相关新法规新准则讲解</w:t>
            </w:r>
          </w:p>
          <w:p>
            <w:pPr>
              <w:adjustRightInd w:val="0"/>
              <w:snapToGrid w:val="0"/>
              <w:spacing w:line="240" w:lineRule="exact"/>
              <w:rPr>
                <w:rFonts w:ascii="宋体" w:hAnsi="宋体" w:eastAsia="宋体"/>
                <w:sz w:val="20"/>
                <w:szCs w:val="20"/>
              </w:rPr>
            </w:pPr>
            <w:r>
              <w:rPr>
                <w:rFonts w:hint="eastAsia" w:ascii="宋体" w:hAnsi="宋体" w:eastAsia="宋体"/>
                <w:sz w:val="20"/>
                <w:szCs w:val="20"/>
              </w:rPr>
              <w:t>4.高绩效团队建设与执行力提升</w:t>
            </w:r>
          </w:p>
          <w:p>
            <w:pPr>
              <w:adjustRightInd w:val="0"/>
              <w:snapToGrid w:val="0"/>
              <w:spacing w:line="240" w:lineRule="exact"/>
              <w:rPr>
                <w:rFonts w:hint="eastAsia" w:ascii="宋体" w:hAnsi="宋体" w:eastAsia="宋体"/>
                <w:sz w:val="20"/>
                <w:szCs w:val="20"/>
              </w:rPr>
            </w:pPr>
            <w:r>
              <w:rPr>
                <w:rFonts w:hint="eastAsia" w:ascii="宋体" w:hAnsi="宋体" w:eastAsia="宋体"/>
                <w:sz w:val="20"/>
                <w:szCs w:val="20"/>
              </w:rPr>
              <w:t>5.博弈论与互动决策</w:t>
            </w:r>
          </w:p>
          <w:p>
            <w:pPr>
              <w:adjustRightInd w:val="0"/>
              <w:snapToGrid w:val="0"/>
              <w:spacing w:line="240" w:lineRule="exact"/>
              <w:rPr>
                <w:rFonts w:ascii="宋体" w:hAnsi="宋体" w:eastAsia="宋体"/>
                <w:sz w:val="20"/>
                <w:szCs w:val="20"/>
              </w:rPr>
            </w:pPr>
            <w:r>
              <w:rPr>
                <w:rFonts w:hint="eastAsia" w:ascii="宋体" w:hAnsi="宋体" w:eastAsia="宋体"/>
                <w:sz w:val="20"/>
                <w:szCs w:val="20"/>
              </w:rPr>
              <w:t>6.数字前沿与产业创新</w:t>
            </w:r>
          </w:p>
          <w:p>
            <w:pPr>
              <w:adjustRightInd w:val="0"/>
              <w:snapToGrid w:val="0"/>
              <w:spacing w:line="240" w:lineRule="exact"/>
              <w:rPr>
                <w:rFonts w:ascii="宋体" w:hAnsi="宋体" w:eastAsia="宋体"/>
                <w:sz w:val="20"/>
                <w:szCs w:val="20"/>
              </w:rPr>
            </w:pPr>
            <w:r>
              <w:rPr>
                <w:rFonts w:hint="eastAsia" w:ascii="宋体" w:hAnsi="宋体" w:eastAsia="宋体"/>
                <w:sz w:val="20"/>
                <w:szCs w:val="20"/>
              </w:rPr>
              <w:t>7.投资价值评估理论与实务</w:t>
            </w:r>
          </w:p>
          <w:p>
            <w:pPr>
              <w:adjustRightInd w:val="0"/>
              <w:snapToGrid w:val="0"/>
              <w:spacing w:line="240" w:lineRule="exact"/>
              <w:rPr>
                <w:rFonts w:ascii="宋体" w:hAnsi="宋体" w:eastAsia="宋体"/>
                <w:sz w:val="20"/>
                <w:szCs w:val="20"/>
              </w:rPr>
            </w:pPr>
            <w:r>
              <w:rPr>
                <w:rFonts w:hint="eastAsia" w:ascii="宋体" w:hAnsi="宋体" w:eastAsia="宋体"/>
                <w:sz w:val="20"/>
                <w:szCs w:val="20"/>
              </w:rPr>
              <w:t>8.证券相关制度法规体系解读</w:t>
            </w:r>
          </w:p>
          <w:p>
            <w:pPr>
              <w:adjustRightInd w:val="0"/>
              <w:snapToGrid w:val="0"/>
              <w:spacing w:line="240" w:lineRule="exact"/>
              <w:rPr>
                <w:rFonts w:ascii="宋体" w:hAnsi="宋体" w:eastAsia="宋体"/>
                <w:sz w:val="20"/>
                <w:szCs w:val="21"/>
              </w:rPr>
            </w:pPr>
            <w:r>
              <w:rPr>
                <w:rFonts w:hint="eastAsia" w:ascii="宋体" w:hAnsi="宋体" w:eastAsia="宋体"/>
                <w:sz w:val="20"/>
                <w:szCs w:val="20"/>
              </w:rPr>
              <w:t>9.公开募集基础设施证券投资基金（REITs）与资产评估</w:t>
            </w:r>
          </w:p>
        </w:tc>
        <w:tc>
          <w:tcPr>
            <w:tcW w:w="2019" w:type="dxa"/>
            <w:shd w:val="clear" w:color="auto" w:fill="auto"/>
            <w:vAlign w:val="center"/>
          </w:tcPr>
          <w:p>
            <w:pPr>
              <w:spacing w:line="280" w:lineRule="exact"/>
              <w:rPr>
                <w:rFonts w:ascii="宋体" w:hAnsi="宋体" w:eastAsia="宋体"/>
                <w:sz w:val="20"/>
                <w:szCs w:val="20"/>
              </w:rPr>
            </w:pPr>
            <w:r>
              <w:rPr>
                <w:rFonts w:hint="eastAsia" w:ascii="宋体" w:hAnsi="宋体" w:eastAsia="宋体"/>
                <w:sz w:val="20"/>
                <w:szCs w:val="20"/>
              </w:rPr>
              <w:t>2022年行业综合排名前百家评估机构评估师</w:t>
            </w:r>
          </w:p>
        </w:tc>
        <w:tc>
          <w:tcPr>
            <w:tcW w:w="1417" w:type="dxa"/>
            <w:shd w:val="clear" w:color="auto" w:fill="auto"/>
            <w:vAlign w:val="center"/>
          </w:tcPr>
          <w:p>
            <w:pPr>
              <w:spacing w:line="280" w:lineRule="exact"/>
              <w:jc w:val="center"/>
              <w:rPr>
                <w:rFonts w:ascii="宋体" w:hAnsi="宋体" w:eastAsia="宋体"/>
                <w:sz w:val="20"/>
                <w:szCs w:val="21"/>
              </w:rPr>
            </w:pPr>
            <w:r>
              <w:rPr>
                <w:rFonts w:hint="eastAsia" w:ascii="宋体" w:hAnsi="宋体" w:eastAsia="宋体"/>
                <w:sz w:val="20"/>
                <w:szCs w:val="20"/>
              </w:rPr>
              <w:t>清华大学</w:t>
            </w:r>
          </w:p>
        </w:tc>
        <w:tc>
          <w:tcPr>
            <w:tcW w:w="1276" w:type="dxa"/>
            <w:shd w:val="clear" w:color="auto" w:fill="auto"/>
            <w:vAlign w:val="center"/>
          </w:tcPr>
          <w:p>
            <w:pPr>
              <w:spacing w:line="280" w:lineRule="exact"/>
              <w:jc w:val="center"/>
              <w:rPr>
                <w:rFonts w:ascii="宋体" w:hAnsi="宋体" w:eastAsia="宋体"/>
                <w:sz w:val="20"/>
                <w:szCs w:val="21"/>
              </w:rPr>
            </w:pPr>
            <w:r>
              <w:rPr>
                <w:rFonts w:hint="eastAsia" w:ascii="宋体" w:hAnsi="宋体" w:eastAsia="宋体"/>
                <w:sz w:val="20"/>
                <w:szCs w:val="20"/>
              </w:rPr>
              <w:t>10</w:t>
            </w:r>
          </w:p>
        </w:tc>
        <w:tc>
          <w:tcPr>
            <w:tcW w:w="1701" w:type="dxa"/>
            <w:shd w:val="clear" w:color="auto" w:fill="auto"/>
            <w:vAlign w:val="center"/>
          </w:tcPr>
          <w:p>
            <w:pPr>
              <w:spacing w:line="280" w:lineRule="exact"/>
              <w:jc w:val="center"/>
              <w:rPr>
                <w:rFonts w:ascii="宋体" w:hAnsi="宋体" w:eastAsia="宋体"/>
                <w:sz w:val="20"/>
                <w:szCs w:val="21"/>
              </w:rPr>
            </w:pPr>
            <w:r>
              <w:rPr>
                <w:rFonts w:hint="eastAsia" w:ascii="宋体" w:hAnsi="宋体" w:eastAsia="宋体"/>
                <w:sz w:val="20"/>
                <w:szCs w:val="20"/>
              </w:rPr>
              <w:t>10月18-27日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2" w:hRule="atLeast"/>
          <w:tblHeader/>
        </w:trPr>
        <w:tc>
          <w:tcPr>
            <w:tcW w:w="959" w:type="dxa"/>
            <w:shd w:val="clear" w:color="auto" w:fill="auto"/>
            <w:vAlign w:val="center"/>
          </w:tcPr>
          <w:p>
            <w:pPr>
              <w:spacing w:line="260" w:lineRule="exact"/>
              <w:jc w:val="center"/>
              <w:rPr>
                <w:rFonts w:ascii="宋体" w:hAnsi="宋体" w:eastAsia="宋体"/>
                <w:sz w:val="20"/>
                <w:szCs w:val="20"/>
              </w:rPr>
            </w:pPr>
            <w:r>
              <w:rPr>
                <w:rFonts w:hint="eastAsia" w:ascii="宋体" w:hAnsi="宋体" w:eastAsia="宋体"/>
                <w:sz w:val="20"/>
                <w:szCs w:val="20"/>
              </w:rPr>
              <w:t>17</w:t>
            </w:r>
          </w:p>
        </w:tc>
        <w:tc>
          <w:tcPr>
            <w:tcW w:w="2693" w:type="dxa"/>
            <w:shd w:val="clear" w:color="auto" w:fill="auto"/>
            <w:vAlign w:val="center"/>
          </w:tcPr>
          <w:p>
            <w:pPr>
              <w:spacing w:line="280" w:lineRule="exact"/>
              <w:jc w:val="left"/>
              <w:rPr>
                <w:rFonts w:ascii="宋体" w:hAnsi="宋体" w:eastAsia="宋体"/>
                <w:sz w:val="20"/>
                <w:szCs w:val="20"/>
              </w:rPr>
            </w:pPr>
            <w:r>
              <w:rPr>
                <w:rFonts w:hint="eastAsia" w:ascii="宋体" w:hAnsi="宋体" w:eastAsia="宋体"/>
                <w:sz w:val="20"/>
                <w:szCs w:val="20"/>
              </w:rPr>
              <w:t>资产评估行业师资培训班</w:t>
            </w:r>
          </w:p>
        </w:tc>
        <w:tc>
          <w:tcPr>
            <w:tcW w:w="4820" w:type="dxa"/>
            <w:shd w:val="clear" w:color="auto" w:fill="auto"/>
            <w:vAlign w:val="center"/>
          </w:tcPr>
          <w:p>
            <w:pPr>
              <w:adjustRightInd w:val="0"/>
              <w:snapToGrid w:val="0"/>
              <w:spacing w:line="240" w:lineRule="exact"/>
              <w:rPr>
                <w:rFonts w:ascii="宋体" w:hAnsi="宋体" w:eastAsia="宋体"/>
                <w:sz w:val="20"/>
                <w:szCs w:val="20"/>
              </w:rPr>
            </w:pPr>
            <w:r>
              <w:rPr>
                <w:rFonts w:hint="eastAsia" w:ascii="宋体" w:hAnsi="宋体" w:eastAsia="宋体"/>
                <w:sz w:val="20"/>
                <w:szCs w:val="20"/>
              </w:rPr>
              <w:t>1.资产评估行业发展新动态</w:t>
            </w:r>
          </w:p>
          <w:p>
            <w:pPr>
              <w:adjustRightInd w:val="0"/>
              <w:snapToGrid w:val="0"/>
              <w:spacing w:line="240" w:lineRule="exact"/>
              <w:rPr>
                <w:rFonts w:ascii="宋体" w:hAnsi="宋体" w:eastAsia="宋体"/>
                <w:sz w:val="20"/>
                <w:szCs w:val="20"/>
              </w:rPr>
            </w:pPr>
            <w:r>
              <w:rPr>
                <w:rFonts w:hint="eastAsia" w:ascii="宋体" w:hAnsi="宋体" w:eastAsia="宋体"/>
                <w:sz w:val="20"/>
                <w:szCs w:val="20"/>
              </w:rPr>
              <w:t>2.</w:t>
            </w:r>
            <w:r>
              <w:rPr>
                <w:rFonts w:ascii="宋体" w:hAnsi="宋体" w:eastAsia="宋体"/>
                <w:sz w:val="20"/>
                <w:szCs w:val="20"/>
              </w:rPr>
              <w:t>演讲与语言表达技巧</w:t>
            </w:r>
          </w:p>
          <w:p>
            <w:pPr>
              <w:adjustRightInd w:val="0"/>
              <w:snapToGrid w:val="0"/>
              <w:spacing w:line="240" w:lineRule="exact"/>
              <w:rPr>
                <w:rFonts w:ascii="宋体" w:hAnsi="宋体" w:eastAsia="宋体"/>
                <w:sz w:val="20"/>
                <w:szCs w:val="20"/>
              </w:rPr>
            </w:pPr>
            <w:r>
              <w:rPr>
                <w:rFonts w:hint="eastAsia" w:ascii="宋体" w:hAnsi="宋体" w:eastAsia="宋体"/>
                <w:sz w:val="20"/>
                <w:szCs w:val="20"/>
              </w:rPr>
              <w:t>3.培训课程案例开发与案例教学</w:t>
            </w:r>
          </w:p>
          <w:p>
            <w:pPr>
              <w:adjustRightInd w:val="0"/>
              <w:snapToGrid w:val="0"/>
              <w:spacing w:line="240" w:lineRule="exact"/>
              <w:rPr>
                <w:rFonts w:ascii="宋体" w:hAnsi="宋体" w:eastAsia="宋体"/>
                <w:sz w:val="20"/>
                <w:szCs w:val="20"/>
              </w:rPr>
            </w:pPr>
            <w:r>
              <w:rPr>
                <w:rFonts w:hint="eastAsia" w:ascii="宋体" w:hAnsi="宋体" w:eastAsia="宋体"/>
                <w:sz w:val="20"/>
                <w:szCs w:val="20"/>
              </w:rPr>
              <w:t>4.评估实务疑难及前沿问题研讨</w:t>
            </w:r>
          </w:p>
          <w:p>
            <w:pPr>
              <w:adjustRightInd w:val="0"/>
              <w:snapToGrid w:val="0"/>
              <w:spacing w:line="240" w:lineRule="exact"/>
              <w:rPr>
                <w:rFonts w:ascii="宋体" w:hAnsi="宋体" w:eastAsia="宋体"/>
                <w:sz w:val="20"/>
                <w:szCs w:val="20"/>
              </w:rPr>
            </w:pPr>
            <w:r>
              <w:rPr>
                <w:rFonts w:hint="eastAsia" w:ascii="宋体" w:hAnsi="宋体" w:eastAsia="宋体"/>
                <w:sz w:val="20"/>
                <w:szCs w:val="20"/>
              </w:rPr>
              <w:t>5.授课技巧实战与专家点评</w:t>
            </w:r>
          </w:p>
        </w:tc>
        <w:tc>
          <w:tcPr>
            <w:tcW w:w="2019" w:type="dxa"/>
            <w:shd w:val="clear" w:color="auto" w:fill="auto"/>
            <w:vAlign w:val="center"/>
          </w:tcPr>
          <w:p>
            <w:pPr>
              <w:spacing w:line="280" w:lineRule="exact"/>
              <w:rPr>
                <w:rFonts w:ascii="宋体" w:hAnsi="宋体" w:eastAsia="宋体"/>
                <w:sz w:val="20"/>
                <w:szCs w:val="20"/>
              </w:rPr>
            </w:pPr>
            <w:r>
              <w:rPr>
                <w:rFonts w:hint="eastAsia" w:ascii="宋体" w:hAnsi="宋体" w:eastAsia="宋体"/>
                <w:sz w:val="20"/>
                <w:szCs w:val="20"/>
              </w:rPr>
              <w:t>资产评估行业师资及高校资产评估专业教师</w:t>
            </w:r>
          </w:p>
        </w:tc>
        <w:tc>
          <w:tcPr>
            <w:tcW w:w="1417" w:type="dxa"/>
            <w:shd w:val="clear" w:color="auto" w:fill="auto"/>
            <w:vAlign w:val="center"/>
          </w:tcPr>
          <w:p>
            <w:pPr>
              <w:spacing w:line="280" w:lineRule="exact"/>
              <w:jc w:val="center"/>
              <w:rPr>
                <w:rFonts w:ascii="宋体" w:hAnsi="宋体" w:eastAsia="宋体"/>
                <w:sz w:val="20"/>
                <w:szCs w:val="21"/>
              </w:rPr>
            </w:pPr>
            <w:r>
              <w:rPr>
                <w:rFonts w:hint="eastAsia" w:ascii="宋体" w:hAnsi="宋体" w:eastAsia="宋体"/>
                <w:sz w:val="20"/>
                <w:szCs w:val="21"/>
              </w:rPr>
              <w:t>厦门国家会计学院</w:t>
            </w:r>
          </w:p>
        </w:tc>
        <w:tc>
          <w:tcPr>
            <w:tcW w:w="1276" w:type="dxa"/>
            <w:shd w:val="clear" w:color="auto" w:fill="auto"/>
            <w:vAlign w:val="center"/>
          </w:tcPr>
          <w:p>
            <w:pPr>
              <w:spacing w:line="280" w:lineRule="exact"/>
              <w:jc w:val="center"/>
              <w:rPr>
                <w:rFonts w:ascii="宋体" w:hAnsi="宋体" w:eastAsia="宋体"/>
                <w:sz w:val="20"/>
                <w:szCs w:val="21"/>
              </w:rPr>
            </w:pPr>
            <w:r>
              <w:rPr>
                <w:rFonts w:hint="eastAsia" w:ascii="宋体" w:hAnsi="宋体" w:eastAsia="宋体"/>
                <w:sz w:val="20"/>
                <w:szCs w:val="21"/>
              </w:rPr>
              <w:t>3</w:t>
            </w:r>
          </w:p>
        </w:tc>
        <w:tc>
          <w:tcPr>
            <w:tcW w:w="1701" w:type="dxa"/>
            <w:shd w:val="clear" w:color="auto" w:fill="auto"/>
            <w:vAlign w:val="center"/>
          </w:tcPr>
          <w:p>
            <w:pPr>
              <w:spacing w:line="280" w:lineRule="exact"/>
              <w:jc w:val="center"/>
              <w:rPr>
                <w:rFonts w:ascii="宋体" w:hAnsi="宋体" w:eastAsia="宋体"/>
                <w:sz w:val="20"/>
                <w:szCs w:val="21"/>
              </w:rPr>
            </w:pPr>
            <w:r>
              <w:rPr>
                <w:rFonts w:ascii="宋体" w:hAnsi="宋体" w:eastAsia="宋体"/>
                <w:sz w:val="20"/>
                <w:szCs w:val="21"/>
              </w:rPr>
              <w:t>11</w:t>
            </w:r>
            <w:r>
              <w:rPr>
                <w:rFonts w:hint="eastAsia" w:ascii="宋体" w:hAnsi="宋体" w:eastAsia="宋体"/>
                <w:sz w:val="20"/>
                <w:szCs w:val="21"/>
              </w:rPr>
              <w:t>月7</w:t>
            </w:r>
            <w:r>
              <w:rPr>
                <w:rFonts w:ascii="宋体" w:hAnsi="宋体" w:eastAsia="宋体"/>
                <w:sz w:val="20"/>
                <w:szCs w:val="21"/>
              </w:rPr>
              <w:t>-</w:t>
            </w:r>
            <w:r>
              <w:rPr>
                <w:rFonts w:hint="eastAsia" w:ascii="宋体" w:hAnsi="宋体" w:eastAsia="宋体"/>
                <w:sz w:val="20"/>
                <w:szCs w:val="21"/>
              </w:rPr>
              <w:t>9日</w:t>
            </w:r>
          </w:p>
        </w:tc>
      </w:tr>
    </w:tbl>
    <w:p>
      <w:pPr>
        <w:jc w:val="left"/>
        <w:rPr>
          <w:rFonts w:hint="eastAsia" w:ascii="黑体" w:hAnsi="黑体" w:eastAsia="黑体"/>
        </w:rPr>
      </w:pPr>
    </w:p>
    <w:p>
      <w:pPr>
        <w:jc w:val="left"/>
        <w:rPr>
          <w:rFonts w:hint="eastAsia" w:ascii="黑体" w:hAnsi="黑体" w:eastAsia="黑体"/>
        </w:rPr>
      </w:pPr>
    </w:p>
    <w:p>
      <w:pPr>
        <w:jc w:val="left"/>
        <w:rPr>
          <w:rFonts w:hint="eastAsia" w:ascii="黑体" w:hAnsi="黑体" w:eastAsia="黑体"/>
        </w:rPr>
      </w:pPr>
    </w:p>
    <w:p>
      <w:pPr>
        <w:jc w:val="left"/>
        <w:rPr>
          <w:rFonts w:hint="eastAsia" w:ascii="黑体" w:hAnsi="黑体" w:eastAsia="黑体"/>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B23620"/>
    <w:multiLevelType w:val="singleLevel"/>
    <w:tmpl w:val="ABB23620"/>
    <w:lvl w:ilvl="0" w:tentative="0">
      <w:start w:val="1"/>
      <w:numFmt w:val="chineseCounting"/>
      <w:suff w:val="nothing"/>
      <w:lvlText w:val="%1、"/>
      <w:lvlJc w:val="left"/>
      <w:rPr>
        <w:rFonts w:hint="eastAsia"/>
      </w:rPr>
    </w:lvl>
  </w:abstractNum>
  <w:abstractNum w:abstractNumId="1">
    <w:nsid w:val="DA1E5796"/>
    <w:multiLevelType w:val="singleLevel"/>
    <w:tmpl w:val="DA1E5796"/>
    <w:lvl w:ilvl="0" w:tentative="0">
      <w:start w:val="1"/>
      <w:numFmt w:val="decimal"/>
      <w:lvlText w:val="%1."/>
      <w:lvlJc w:val="left"/>
      <w:pPr>
        <w:tabs>
          <w:tab w:val="left" w:pos="312"/>
        </w:tabs>
      </w:pPr>
    </w:lvl>
  </w:abstractNum>
  <w:abstractNum w:abstractNumId="2">
    <w:nsid w:val="E5538E7A"/>
    <w:multiLevelType w:val="singleLevel"/>
    <w:tmpl w:val="E5538E7A"/>
    <w:lvl w:ilvl="0" w:tentative="0">
      <w:start w:val="1"/>
      <w:numFmt w:val="decimal"/>
      <w:lvlText w:val="%1."/>
      <w:lvlJc w:val="left"/>
      <w:pPr>
        <w:tabs>
          <w:tab w:val="left" w:pos="312"/>
        </w:tabs>
      </w:pPr>
    </w:lvl>
  </w:abstractNum>
  <w:abstractNum w:abstractNumId="3">
    <w:nsid w:val="F7BF0A2F"/>
    <w:multiLevelType w:val="singleLevel"/>
    <w:tmpl w:val="F7BF0A2F"/>
    <w:lvl w:ilvl="0" w:tentative="0">
      <w:start w:val="1"/>
      <w:numFmt w:val="decimal"/>
      <w:lvlText w:val="%1."/>
      <w:lvlJc w:val="left"/>
      <w:pPr>
        <w:tabs>
          <w:tab w:val="left" w:pos="312"/>
        </w:tabs>
      </w:pPr>
    </w:lvl>
  </w:abstractNum>
  <w:abstractNum w:abstractNumId="4">
    <w:nsid w:val="FDBB2B5A"/>
    <w:multiLevelType w:val="singleLevel"/>
    <w:tmpl w:val="FDBB2B5A"/>
    <w:lvl w:ilvl="0" w:tentative="0">
      <w:start w:val="1"/>
      <w:numFmt w:val="decimal"/>
      <w:lvlText w:val="%1."/>
      <w:lvlJc w:val="left"/>
      <w:pPr>
        <w:tabs>
          <w:tab w:val="left" w:pos="312"/>
        </w:tabs>
      </w:pPr>
    </w:lvl>
  </w:abstractNum>
  <w:num w:numId="1">
    <w:abstractNumId w:val="2"/>
  </w:num>
  <w:num w:numId="2">
    <w:abstractNumId w:val="4"/>
  </w:num>
  <w:num w:numId="3">
    <w:abstractNumId w:val="3"/>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3OWExMzhlODE5NmRiZmYxNmM1MjMwZGM1MzI4OGEifQ=="/>
  </w:docVars>
  <w:rsids>
    <w:rsidRoot w:val="66F9127D"/>
    <w:rsid w:val="024F3C24"/>
    <w:rsid w:val="09B33848"/>
    <w:rsid w:val="09F26B23"/>
    <w:rsid w:val="10770234"/>
    <w:rsid w:val="1A130D60"/>
    <w:rsid w:val="1D5F3142"/>
    <w:rsid w:val="20335FD9"/>
    <w:rsid w:val="21211168"/>
    <w:rsid w:val="2C5045F1"/>
    <w:rsid w:val="2E434F9F"/>
    <w:rsid w:val="2EF97D42"/>
    <w:rsid w:val="30082382"/>
    <w:rsid w:val="30DC16A8"/>
    <w:rsid w:val="34554E47"/>
    <w:rsid w:val="35D61265"/>
    <w:rsid w:val="36C96F1D"/>
    <w:rsid w:val="3B6014DD"/>
    <w:rsid w:val="3C9573CC"/>
    <w:rsid w:val="4116134D"/>
    <w:rsid w:val="413C77A1"/>
    <w:rsid w:val="428535C0"/>
    <w:rsid w:val="43C465FF"/>
    <w:rsid w:val="48482349"/>
    <w:rsid w:val="4E8C2C6C"/>
    <w:rsid w:val="518B0083"/>
    <w:rsid w:val="523E0087"/>
    <w:rsid w:val="55E65B18"/>
    <w:rsid w:val="57CA03C8"/>
    <w:rsid w:val="57DA6526"/>
    <w:rsid w:val="5B13773E"/>
    <w:rsid w:val="6532017B"/>
    <w:rsid w:val="66F9127D"/>
    <w:rsid w:val="68D74EBB"/>
    <w:rsid w:val="68DD1DBB"/>
    <w:rsid w:val="7096507D"/>
    <w:rsid w:val="76A874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4"/>
    <w:basedOn w:val="1"/>
    <w:next w:val="1"/>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Normal (Web)"/>
    <w:basedOn w:val="1"/>
    <w:qFormat/>
    <w:uiPriority w:val="0"/>
    <w:rPr>
      <w:sz w:val="24"/>
    </w:rPr>
  </w:style>
  <w:style w:type="paragraph" w:styleId="8">
    <w:name w:val="List Paragraph"/>
    <w:basedOn w:val="1"/>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3416</Words>
  <Characters>3660</Characters>
  <Lines>0</Lines>
  <Paragraphs>0</Paragraphs>
  <TotalTime>16</TotalTime>
  <ScaleCrop>false</ScaleCrop>
  <LinksUpToDate>false</LinksUpToDate>
  <CharactersWithSpaces>3666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2018-03-12T02:55:00Z</dcterms:created>
  <dc:creator>风移影动</dc:creator>
  <cp:lastModifiedBy>梁小棋</cp:lastModifiedBy>
  <cp:lastPrinted>2023-03-03T01:52:00Z</cp:lastPrinted>
  <dcterms:modified xsi:type="dcterms:W3CDTF">2023-03-03T01:58:29Z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90EE363E1B614844B6B4FE59C21561BF</vt:lpwstr>
  </property>
</Properties>
</file>