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0" w:beforeAutospacing="0" w:after="0" w:afterAutospacing="0"/>
        <w:jc w:val="both"/>
        <w:rPr>
          <w:rFonts w:hint="eastAsia" w:ascii="黑体" w:eastAsia="黑体"/>
          <w:b w:val="0"/>
          <w:sz w:val="32"/>
          <w:szCs w:val="32"/>
        </w:rPr>
      </w:pPr>
      <w:r>
        <w:rPr>
          <w:rFonts w:hint="eastAsia" w:ascii="黑体" w:eastAsia="黑体"/>
          <w:b w:val="0"/>
          <w:sz w:val="32"/>
          <w:szCs w:val="32"/>
        </w:rPr>
        <w:t>附件2-1</w:t>
      </w:r>
    </w:p>
    <w:p>
      <w:pPr>
        <w:spacing w:line="420" w:lineRule="atLeast"/>
        <w:jc w:val="center"/>
        <w:rPr>
          <w:rFonts w:hint="eastAsia" w:ascii="方正小标宋_GBK" w:hAnsi="华文中宋" w:eastAsia="方正小标宋_GBK"/>
          <w:sz w:val="36"/>
          <w:szCs w:val="36"/>
        </w:rPr>
      </w:pPr>
      <w:r>
        <w:rPr>
          <w:rFonts w:hint="eastAsia" w:ascii="方正小标宋_GBK" w:hAnsi="华文中宋" w:eastAsia="方正小标宋_GBK"/>
          <w:sz w:val="36"/>
          <w:szCs w:val="36"/>
        </w:rPr>
        <w:t>资产评估机构合伙人（股东）信息汇总表</w:t>
      </w:r>
    </w:p>
    <w:p>
      <w:pPr>
        <w:rPr>
          <w:rFonts w:ascii="华文中宋" w:hAnsi="华文中宋" w:eastAsia="华文中宋"/>
          <w:b/>
          <w:sz w:val="36"/>
          <w:szCs w:val="36"/>
        </w:rPr>
      </w:pPr>
      <w:r>
        <w:rPr>
          <w:rFonts w:hint="eastAsia" w:ascii="宋体" w:hAnsi="宋体"/>
          <w:sz w:val="24"/>
          <w:szCs w:val="24"/>
        </w:rPr>
        <w:t>资产评估机构名称：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8"/>
        <w:gridCol w:w="1453"/>
        <w:gridCol w:w="1276"/>
        <w:gridCol w:w="1695"/>
        <w:gridCol w:w="1912"/>
        <w:gridCol w:w="3085"/>
        <w:gridCol w:w="1529"/>
        <w:gridCol w:w="1276"/>
        <w:gridCol w:w="11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3" w:hRule="atLeast"/>
          <w:jc w:val="center"/>
        </w:trPr>
        <w:tc>
          <w:tcPr>
            <w:tcW w:w="798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序号</w:t>
            </w:r>
          </w:p>
        </w:tc>
        <w:tc>
          <w:tcPr>
            <w:tcW w:w="1453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姓名</w:t>
            </w:r>
          </w:p>
          <w:p>
            <w:pPr>
              <w:spacing w:line="240" w:lineRule="atLeast"/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（或名称）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是否</w:t>
            </w:r>
          </w:p>
          <w:p>
            <w:pPr>
              <w:spacing w:line="240" w:lineRule="atLeast"/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资产评估师</w:t>
            </w:r>
          </w:p>
        </w:tc>
        <w:tc>
          <w:tcPr>
            <w:tcW w:w="1695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是否</w:t>
            </w:r>
          </w:p>
          <w:p>
            <w:pPr>
              <w:spacing w:line="240" w:lineRule="atLeast"/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其他专业领域的评估师</w:t>
            </w:r>
          </w:p>
        </w:tc>
        <w:tc>
          <w:tcPr>
            <w:tcW w:w="1912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其他专业领域的评估师资格名称</w:t>
            </w:r>
          </w:p>
        </w:tc>
        <w:tc>
          <w:tcPr>
            <w:tcW w:w="3085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/>
              </w:rPr>
            </w:pPr>
            <w:r>
              <w:rPr>
                <w:rFonts w:hint="eastAsia" w:ascii="宋体"/>
              </w:rPr>
              <w:t>资产评估师职业资格证书</w:t>
            </w:r>
          </w:p>
          <w:p>
            <w:pPr>
              <w:spacing w:line="240" w:lineRule="atLeast"/>
              <w:jc w:val="center"/>
              <w:rPr>
                <w:rFonts w:hint="eastAsia" w:ascii="宋体"/>
                <w:lang w:eastAsia="zh-CN"/>
              </w:rPr>
            </w:pPr>
            <w:r>
              <w:rPr>
                <w:rFonts w:hint="eastAsia" w:ascii="宋体"/>
              </w:rPr>
              <w:t>登记编号</w:t>
            </w:r>
            <w:r>
              <w:rPr>
                <w:rFonts w:hint="eastAsia" w:ascii="宋体"/>
                <w:lang w:eastAsia="zh-CN"/>
              </w:rPr>
              <w:t>（会员编号）</w:t>
            </w:r>
          </w:p>
          <w:p>
            <w:pPr>
              <w:spacing w:line="240" w:lineRule="atLeast"/>
              <w:jc w:val="center"/>
              <w:rPr>
                <w:rFonts w:hint="eastAsia" w:ascii="宋体"/>
              </w:rPr>
            </w:pPr>
            <w:r>
              <w:rPr>
                <w:rFonts w:hint="eastAsia" w:ascii="宋体"/>
              </w:rPr>
              <w:t>（或其他专业领域的评估师</w:t>
            </w:r>
          </w:p>
          <w:p>
            <w:pPr>
              <w:spacing w:line="240" w:lineRule="atLeast"/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资格证书编号）</w:t>
            </w:r>
          </w:p>
        </w:tc>
        <w:tc>
          <w:tcPr>
            <w:tcW w:w="1529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出资额（万元）</w:t>
            </w:r>
          </w:p>
          <w:p>
            <w:pPr>
              <w:spacing w:line="240" w:lineRule="atLeast"/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（或股权比例%）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是否具有</w:t>
            </w:r>
          </w:p>
          <w:p>
            <w:pPr>
              <w:spacing w:line="240" w:lineRule="atLeast"/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三年以上</w:t>
            </w:r>
          </w:p>
          <w:p>
            <w:pPr>
              <w:spacing w:line="240" w:lineRule="atLeast"/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从业经历</w:t>
            </w:r>
          </w:p>
        </w:tc>
        <w:tc>
          <w:tcPr>
            <w:tcW w:w="1134" w:type="dxa"/>
            <w:noWrap w:val="0"/>
            <w:vAlign w:val="top"/>
          </w:tcPr>
          <w:p>
            <w:pPr>
              <w:spacing w:line="240" w:lineRule="atLeast"/>
              <w:rPr>
                <w:rFonts w:ascii="宋体"/>
              </w:rPr>
            </w:pPr>
            <w:r>
              <w:rPr>
                <w:rFonts w:hint="eastAsia" w:ascii="宋体"/>
              </w:rPr>
              <w:t>三年内是否受停止从业处罚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8" w:type="dxa"/>
            <w:noWrap w:val="0"/>
            <w:vAlign w:val="top"/>
          </w:tcPr>
          <w:p>
            <w:pPr>
              <w:spacing w:line="420" w:lineRule="atLeast"/>
              <w:rPr>
                <w:rFonts w:ascii="宋体"/>
                <w:sz w:val="24"/>
              </w:rPr>
            </w:pPr>
          </w:p>
        </w:tc>
        <w:tc>
          <w:tcPr>
            <w:tcW w:w="1453" w:type="dxa"/>
            <w:noWrap w:val="0"/>
            <w:vAlign w:val="top"/>
          </w:tcPr>
          <w:p>
            <w:pPr>
              <w:spacing w:line="420" w:lineRule="atLeast"/>
              <w:rPr>
                <w:rFonts w:ascii="宋体"/>
                <w:sz w:val="24"/>
              </w:rPr>
            </w:pPr>
          </w:p>
        </w:tc>
        <w:tc>
          <w:tcPr>
            <w:tcW w:w="1276" w:type="dxa"/>
            <w:noWrap w:val="0"/>
            <w:vAlign w:val="top"/>
          </w:tcPr>
          <w:p>
            <w:pPr>
              <w:spacing w:line="420" w:lineRule="atLeast"/>
              <w:rPr>
                <w:rFonts w:ascii="宋体"/>
                <w:sz w:val="24"/>
              </w:rPr>
            </w:pPr>
          </w:p>
        </w:tc>
        <w:tc>
          <w:tcPr>
            <w:tcW w:w="1695" w:type="dxa"/>
            <w:noWrap w:val="0"/>
            <w:vAlign w:val="top"/>
          </w:tcPr>
          <w:p>
            <w:pPr>
              <w:spacing w:line="420" w:lineRule="atLeast"/>
              <w:rPr>
                <w:rFonts w:ascii="宋体"/>
                <w:sz w:val="24"/>
              </w:rPr>
            </w:pPr>
          </w:p>
        </w:tc>
        <w:tc>
          <w:tcPr>
            <w:tcW w:w="1912" w:type="dxa"/>
            <w:noWrap w:val="0"/>
            <w:vAlign w:val="top"/>
          </w:tcPr>
          <w:p>
            <w:pPr>
              <w:spacing w:line="420" w:lineRule="atLeast"/>
              <w:rPr>
                <w:rFonts w:ascii="宋体"/>
                <w:sz w:val="24"/>
              </w:rPr>
            </w:pPr>
          </w:p>
        </w:tc>
        <w:tc>
          <w:tcPr>
            <w:tcW w:w="3085" w:type="dxa"/>
            <w:noWrap w:val="0"/>
            <w:vAlign w:val="top"/>
          </w:tcPr>
          <w:p>
            <w:pPr>
              <w:spacing w:line="420" w:lineRule="atLeast"/>
              <w:rPr>
                <w:rFonts w:ascii="宋体"/>
                <w:sz w:val="24"/>
              </w:rPr>
            </w:pPr>
          </w:p>
        </w:tc>
        <w:tc>
          <w:tcPr>
            <w:tcW w:w="1529" w:type="dxa"/>
            <w:noWrap w:val="0"/>
            <w:vAlign w:val="top"/>
          </w:tcPr>
          <w:p>
            <w:pPr>
              <w:spacing w:line="420" w:lineRule="atLeast"/>
              <w:rPr>
                <w:rFonts w:ascii="宋体"/>
                <w:sz w:val="24"/>
              </w:rPr>
            </w:pPr>
          </w:p>
        </w:tc>
        <w:tc>
          <w:tcPr>
            <w:tcW w:w="1276" w:type="dxa"/>
            <w:noWrap w:val="0"/>
            <w:vAlign w:val="top"/>
          </w:tcPr>
          <w:p>
            <w:pPr>
              <w:spacing w:line="420" w:lineRule="atLeast"/>
              <w:rPr>
                <w:rFonts w:ascii="宋体"/>
                <w:sz w:val="24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spacing w:line="420" w:lineRule="atLeas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8" w:type="dxa"/>
            <w:noWrap w:val="0"/>
            <w:vAlign w:val="top"/>
          </w:tcPr>
          <w:p>
            <w:pPr>
              <w:spacing w:line="420" w:lineRule="atLeast"/>
              <w:rPr>
                <w:rFonts w:ascii="宋体"/>
                <w:sz w:val="24"/>
              </w:rPr>
            </w:pPr>
          </w:p>
        </w:tc>
        <w:tc>
          <w:tcPr>
            <w:tcW w:w="1453" w:type="dxa"/>
            <w:noWrap w:val="0"/>
            <w:vAlign w:val="top"/>
          </w:tcPr>
          <w:p>
            <w:pPr>
              <w:spacing w:line="420" w:lineRule="atLeast"/>
              <w:rPr>
                <w:rFonts w:ascii="宋体"/>
                <w:sz w:val="24"/>
              </w:rPr>
            </w:pPr>
          </w:p>
        </w:tc>
        <w:tc>
          <w:tcPr>
            <w:tcW w:w="1276" w:type="dxa"/>
            <w:noWrap w:val="0"/>
            <w:vAlign w:val="top"/>
          </w:tcPr>
          <w:p>
            <w:pPr>
              <w:spacing w:line="420" w:lineRule="atLeast"/>
              <w:rPr>
                <w:rFonts w:ascii="宋体"/>
                <w:sz w:val="24"/>
              </w:rPr>
            </w:pPr>
          </w:p>
        </w:tc>
        <w:tc>
          <w:tcPr>
            <w:tcW w:w="1695" w:type="dxa"/>
            <w:noWrap w:val="0"/>
            <w:vAlign w:val="top"/>
          </w:tcPr>
          <w:p>
            <w:pPr>
              <w:spacing w:line="420" w:lineRule="atLeast"/>
              <w:rPr>
                <w:rFonts w:ascii="宋体"/>
                <w:sz w:val="24"/>
              </w:rPr>
            </w:pPr>
          </w:p>
        </w:tc>
        <w:tc>
          <w:tcPr>
            <w:tcW w:w="1912" w:type="dxa"/>
            <w:noWrap w:val="0"/>
            <w:vAlign w:val="top"/>
          </w:tcPr>
          <w:p>
            <w:pPr>
              <w:spacing w:line="420" w:lineRule="atLeast"/>
              <w:rPr>
                <w:rFonts w:ascii="宋体"/>
                <w:sz w:val="24"/>
              </w:rPr>
            </w:pPr>
          </w:p>
        </w:tc>
        <w:tc>
          <w:tcPr>
            <w:tcW w:w="3085" w:type="dxa"/>
            <w:noWrap w:val="0"/>
            <w:vAlign w:val="top"/>
          </w:tcPr>
          <w:p>
            <w:pPr>
              <w:spacing w:line="420" w:lineRule="atLeast"/>
              <w:rPr>
                <w:rFonts w:ascii="宋体"/>
                <w:sz w:val="24"/>
              </w:rPr>
            </w:pPr>
          </w:p>
        </w:tc>
        <w:tc>
          <w:tcPr>
            <w:tcW w:w="1529" w:type="dxa"/>
            <w:noWrap w:val="0"/>
            <w:vAlign w:val="top"/>
          </w:tcPr>
          <w:p>
            <w:pPr>
              <w:spacing w:line="420" w:lineRule="atLeast"/>
              <w:rPr>
                <w:rFonts w:ascii="宋体"/>
                <w:sz w:val="24"/>
              </w:rPr>
            </w:pPr>
          </w:p>
        </w:tc>
        <w:tc>
          <w:tcPr>
            <w:tcW w:w="1276" w:type="dxa"/>
            <w:noWrap w:val="0"/>
            <w:vAlign w:val="top"/>
          </w:tcPr>
          <w:p>
            <w:pPr>
              <w:spacing w:line="420" w:lineRule="atLeast"/>
              <w:rPr>
                <w:rFonts w:ascii="宋体"/>
                <w:sz w:val="24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spacing w:line="420" w:lineRule="atLeas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8" w:type="dxa"/>
            <w:noWrap w:val="0"/>
            <w:vAlign w:val="top"/>
          </w:tcPr>
          <w:p>
            <w:pPr>
              <w:spacing w:line="420" w:lineRule="atLeast"/>
              <w:rPr>
                <w:rFonts w:ascii="宋体"/>
                <w:sz w:val="24"/>
              </w:rPr>
            </w:pPr>
          </w:p>
        </w:tc>
        <w:tc>
          <w:tcPr>
            <w:tcW w:w="1453" w:type="dxa"/>
            <w:noWrap w:val="0"/>
            <w:vAlign w:val="top"/>
          </w:tcPr>
          <w:p>
            <w:pPr>
              <w:spacing w:line="420" w:lineRule="atLeast"/>
              <w:rPr>
                <w:rFonts w:ascii="宋体"/>
                <w:sz w:val="24"/>
              </w:rPr>
            </w:pPr>
          </w:p>
        </w:tc>
        <w:tc>
          <w:tcPr>
            <w:tcW w:w="1276" w:type="dxa"/>
            <w:noWrap w:val="0"/>
            <w:vAlign w:val="top"/>
          </w:tcPr>
          <w:p>
            <w:pPr>
              <w:spacing w:line="420" w:lineRule="atLeast"/>
              <w:rPr>
                <w:rFonts w:ascii="宋体"/>
                <w:sz w:val="24"/>
              </w:rPr>
            </w:pPr>
          </w:p>
        </w:tc>
        <w:tc>
          <w:tcPr>
            <w:tcW w:w="1695" w:type="dxa"/>
            <w:noWrap w:val="0"/>
            <w:vAlign w:val="top"/>
          </w:tcPr>
          <w:p>
            <w:pPr>
              <w:spacing w:line="420" w:lineRule="atLeast"/>
              <w:rPr>
                <w:rFonts w:ascii="宋体"/>
                <w:sz w:val="24"/>
              </w:rPr>
            </w:pPr>
          </w:p>
        </w:tc>
        <w:tc>
          <w:tcPr>
            <w:tcW w:w="1912" w:type="dxa"/>
            <w:noWrap w:val="0"/>
            <w:vAlign w:val="top"/>
          </w:tcPr>
          <w:p>
            <w:pPr>
              <w:spacing w:line="420" w:lineRule="atLeast"/>
              <w:rPr>
                <w:rFonts w:ascii="宋体"/>
                <w:sz w:val="24"/>
              </w:rPr>
            </w:pPr>
          </w:p>
        </w:tc>
        <w:tc>
          <w:tcPr>
            <w:tcW w:w="3085" w:type="dxa"/>
            <w:noWrap w:val="0"/>
            <w:vAlign w:val="top"/>
          </w:tcPr>
          <w:p>
            <w:pPr>
              <w:spacing w:line="420" w:lineRule="atLeast"/>
              <w:rPr>
                <w:rFonts w:ascii="宋体"/>
                <w:sz w:val="24"/>
              </w:rPr>
            </w:pPr>
          </w:p>
        </w:tc>
        <w:tc>
          <w:tcPr>
            <w:tcW w:w="1529" w:type="dxa"/>
            <w:noWrap w:val="0"/>
            <w:vAlign w:val="top"/>
          </w:tcPr>
          <w:p>
            <w:pPr>
              <w:spacing w:line="420" w:lineRule="atLeast"/>
              <w:rPr>
                <w:rFonts w:ascii="宋体"/>
                <w:sz w:val="24"/>
              </w:rPr>
            </w:pPr>
          </w:p>
        </w:tc>
        <w:tc>
          <w:tcPr>
            <w:tcW w:w="1276" w:type="dxa"/>
            <w:noWrap w:val="0"/>
            <w:vAlign w:val="top"/>
          </w:tcPr>
          <w:p>
            <w:pPr>
              <w:spacing w:line="420" w:lineRule="atLeast"/>
              <w:rPr>
                <w:rFonts w:ascii="宋体"/>
                <w:sz w:val="24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spacing w:line="420" w:lineRule="atLeas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8" w:type="dxa"/>
            <w:noWrap w:val="0"/>
            <w:vAlign w:val="top"/>
          </w:tcPr>
          <w:p>
            <w:pPr>
              <w:spacing w:line="420" w:lineRule="atLeast"/>
              <w:rPr>
                <w:rFonts w:ascii="宋体"/>
                <w:sz w:val="24"/>
              </w:rPr>
            </w:pPr>
          </w:p>
        </w:tc>
        <w:tc>
          <w:tcPr>
            <w:tcW w:w="1453" w:type="dxa"/>
            <w:noWrap w:val="0"/>
            <w:vAlign w:val="top"/>
          </w:tcPr>
          <w:p>
            <w:pPr>
              <w:spacing w:line="420" w:lineRule="atLeast"/>
              <w:rPr>
                <w:rFonts w:ascii="宋体"/>
                <w:sz w:val="24"/>
              </w:rPr>
            </w:pPr>
          </w:p>
        </w:tc>
        <w:tc>
          <w:tcPr>
            <w:tcW w:w="1276" w:type="dxa"/>
            <w:noWrap w:val="0"/>
            <w:vAlign w:val="top"/>
          </w:tcPr>
          <w:p>
            <w:pPr>
              <w:spacing w:line="420" w:lineRule="atLeast"/>
              <w:rPr>
                <w:rFonts w:ascii="宋体"/>
                <w:sz w:val="24"/>
              </w:rPr>
            </w:pPr>
          </w:p>
        </w:tc>
        <w:tc>
          <w:tcPr>
            <w:tcW w:w="1695" w:type="dxa"/>
            <w:noWrap w:val="0"/>
            <w:vAlign w:val="top"/>
          </w:tcPr>
          <w:p>
            <w:pPr>
              <w:spacing w:line="420" w:lineRule="atLeast"/>
              <w:rPr>
                <w:rFonts w:ascii="宋体"/>
                <w:sz w:val="24"/>
              </w:rPr>
            </w:pPr>
          </w:p>
        </w:tc>
        <w:tc>
          <w:tcPr>
            <w:tcW w:w="1912" w:type="dxa"/>
            <w:noWrap w:val="0"/>
            <w:vAlign w:val="top"/>
          </w:tcPr>
          <w:p>
            <w:pPr>
              <w:spacing w:line="420" w:lineRule="atLeast"/>
              <w:rPr>
                <w:rFonts w:ascii="宋体"/>
                <w:sz w:val="24"/>
              </w:rPr>
            </w:pPr>
          </w:p>
        </w:tc>
        <w:tc>
          <w:tcPr>
            <w:tcW w:w="3085" w:type="dxa"/>
            <w:noWrap w:val="0"/>
            <w:vAlign w:val="top"/>
          </w:tcPr>
          <w:p>
            <w:pPr>
              <w:spacing w:line="420" w:lineRule="atLeast"/>
              <w:rPr>
                <w:rFonts w:ascii="宋体"/>
                <w:sz w:val="24"/>
              </w:rPr>
            </w:pPr>
          </w:p>
        </w:tc>
        <w:tc>
          <w:tcPr>
            <w:tcW w:w="1529" w:type="dxa"/>
            <w:noWrap w:val="0"/>
            <w:vAlign w:val="top"/>
          </w:tcPr>
          <w:p>
            <w:pPr>
              <w:spacing w:line="420" w:lineRule="atLeast"/>
              <w:rPr>
                <w:rFonts w:ascii="宋体"/>
                <w:sz w:val="24"/>
              </w:rPr>
            </w:pPr>
          </w:p>
        </w:tc>
        <w:tc>
          <w:tcPr>
            <w:tcW w:w="1276" w:type="dxa"/>
            <w:noWrap w:val="0"/>
            <w:vAlign w:val="top"/>
          </w:tcPr>
          <w:p>
            <w:pPr>
              <w:spacing w:line="420" w:lineRule="atLeast"/>
              <w:rPr>
                <w:rFonts w:ascii="宋体"/>
                <w:sz w:val="24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spacing w:line="420" w:lineRule="atLeas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8" w:type="dxa"/>
            <w:noWrap w:val="0"/>
            <w:vAlign w:val="top"/>
          </w:tcPr>
          <w:p>
            <w:pPr>
              <w:spacing w:line="420" w:lineRule="atLeast"/>
              <w:rPr>
                <w:rFonts w:ascii="宋体"/>
                <w:sz w:val="24"/>
              </w:rPr>
            </w:pPr>
          </w:p>
        </w:tc>
        <w:tc>
          <w:tcPr>
            <w:tcW w:w="1453" w:type="dxa"/>
            <w:noWrap w:val="0"/>
            <w:vAlign w:val="top"/>
          </w:tcPr>
          <w:p>
            <w:pPr>
              <w:spacing w:line="420" w:lineRule="atLeast"/>
              <w:rPr>
                <w:rFonts w:ascii="宋体"/>
                <w:sz w:val="24"/>
              </w:rPr>
            </w:pPr>
          </w:p>
        </w:tc>
        <w:tc>
          <w:tcPr>
            <w:tcW w:w="1276" w:type="dxa"/>
            <w:noWrap w:val="0"/>
            <w:vAlign w:val="top"/>
          </w:tcPr>
          <w:p>
            <w:pPr>
              <w:spacing w:line="420" w:lineRule="atLeast"/>
              <w:rPr>
                <w:rFonts w:ascii="宋体"/>
                <w:sz w:val="24"/>
              </w:rPr>
            </w:pPr>
          </w:p>
        </w:tc>
        <w:tc>
          <w:tcPr>
            <w:tcW w:w="1695" w:type="dxa"/>
            <w:noWrap w:val="0"/>
            <w:vAlign w:val="top"/>
          </w:tcPr>
          <w:p>
            <w:pPr>
              <w:spacing w:line="420" w:lineRule="atLeast"/>
              <w:rPr>
                <w:rFonts w:ascii="宋体"/>
                <w:sz w:val="24"/>
              </w:rPr>
            </w:pPr>
          </w:p>
        </w:tc>
        <w:tc>
          <w:tcPr>
            <w:tcW w:w="1912" w:type="dxa"/>
            <w:noWrap w:val="0"/>
            <w:vAlign w:val="top"/>
          </w:tcPr>
          <w:p>
            <w:pPr>
              <w:spacing w:line="420" w:lineRule="atLeast"/>
              <w:rPr>
                <w:rFonts w:ascii="宋体"/>
                <w:sz w:val="24"/>
              </w:rPr>
            </w:pPr>
          </w:p>
        </w:tc>
        <w:tc>
          <w:tcPr>
            <w:tcW w:w="3085" w:type="dxa"/>
            <w:noWrap w:val="0"/>
            <w:vAlign w:val="top"/>
          </w:tcPr>
          <w:p>
            <w:pPr>
              <w:spacing w:line="420" w:lineRule="atLeast"/>
              <w:rPr>
                <w:rFonts w:ascii="宋体"/>
                <w:sz w:val="24"/>
              </w:rPr>
            </w:pPr>
          </w:p>
        </w:tc>
        <w:tc>
          <w:tcPr>
            <w:tcW w:w="1529" w:type="dxa"/>
            <w:noWrap w:val="0"/>
            <w:vAlign w:val="top"/>
          </w:tcPr>
          <w:p>
            <w:pPr>
              <w:spacing w:line="420" w:lineRule="atLeast"/>
              <w:rPr>
                <w:rFonts w:ascii="宋体"/>
                <w:sz w:val="24"/>
              </w:rPr>
            </w:pPr>
          </w:p>
        </w:tc>
        <w:tc>
          <w:tcPr>
            <w:tcW w:w="1276" w:type="dxa"/>
            <w:noWrap w:val="0"/>
            <w:vAlign w:val="top"/>
          </w:tcPr>
          <w:p>
            <w:pPr>
              <w:spacing w:line="420" w:lineRule="atLeast"/>
              <w:rPr>
                <w:rFonts w:ascii="宋体"/>
                <w:sz w:val="24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spacing w:line="420" w:lineRule="atLeas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8" w:type="dxa"/>
            <w:noWrap w:val="0"/>
            <w:vAlign w:val="top"/>
          </w:tcPr>
          <w:p>
            <w:pPr>
              <w:spacing w:line="420" w:lineRule="atLeast"/>
              <w:rPr>
                <w:rFonts w:ascii="宋体"/>
                <w:sz w:val="24"/>
              </w:rPr>
            </w:pPr>
          </w:p>
        </w:tc>
        <w:tc>
          <w:tcPr>
            <w:tcW w:w="1453" w:type="dxa"/>
            <w:noWrap w:val="0"/>
            <w:vAlign w:val="top"/>
          </w:tcPr>
          <w:p>
            <w:pPr>
              <w:spacing w:line="420" w:lineRule="atLeast"/>
              <w:rPr>
                <w:rFonts w:ascii="宋体"/>
                <w:sz w:val="24"/>
              </w:rPr>
            </w:pPr>
          </w:p>
        </w:tc>
        <w:tc>
          <w:tcPr>
            <w:tcW w:w="1276" w:type="dxa"/>
            <w:noWrap w:val="0"/>
            <w:vAlign w:val="top"/>
          </w:tcPr>
          <w:p>
            <w:pPr>
              <w:spacing w:line="420" w:lineRule="atLeast"/>
              <w:rPr>
                <w:rFonts w:ascii="宋体"/>
                <w:sz w:val="24"/>
              </w:rPr>
            </w:pPr>
          </w:p>
        </w:tc>
        <w:tc>
          <w:tcPr>
            <w:tcW w:w="1695" w:type="dxa"/>
            <w:noWrap w:val="0"/>
            <w:vAlign w:val="top"/>
          </w:tcPr>
          <w:p>
            <w:pPr>
              <w:spacing w:line="420" w:lineRule="atLeast"/>
              <w:rPr>
                <w:rFonts w:ascii="宋体"/>
                <w:sz w:val="24"/>
              </w:rPr>
            </w:pPr>
          </w:p>
        </w:tc>
        <w:tc>
          <w:tcPr>
            <w:tcW w:w="1912" w:type="dxa"/>
            <w:noWrap w:val="0"/>
            <w:vAlign w:val="top"/>
          </w:tcPr>
          <w:p>
            <w:pPr>
              <w:spacing w:line="420" w:lineRule="atLeast"/>
              <w:rPr>
                <w:rFonts w:ascii="宋体"/>
                <w:sz w:val="24"/>
              </w:rPr>
            </w:pPr>
          </w:p>
        </w:tc>
        <w:tc>
          <w:tcPr>
            <w:tcW w:w="3085" w:type="dxa"/>
            <w:noWrap w:val="0"/>
            <w:vAlign w:val="top"/>
          </w:tcPr>
          <w:p>
            <w:pPr>
              <w:spacing w:line="420" w:lineRule="atLeast"/>
              <w:rPr>
                <w:rFonts w:ascii="宋体"/>
                <w:sz w:val="24"/>
              </w:rPr>
            </w:pPr>
          </w:p>
        </w:tc>
        <w:tc>
          <w:tcPr>
            <w:tcW w:w="1529" w:type="dxa"/>
            <w:noWrap w:val="0"/>
            <w:vAlign w:val="top"/>
          </w:tcPr>
          <w:p>
            <w:pPr>
              <w:spacing w:line="420" w:lineRule="atLeast"/>
              <w:rPr>
                <w:rFonts w:ascii="宋体"/>
                <w:sz w:val="24"/>
              </w:rPr>
            </w:pPr>
          </w:p>
        </w:tc>
        <w:tc>
          <w:tcPr>
            <w:tcW w:w="1276" w:type="dxa"/>
            <w:noWrap w:val="0"/>
            <w:vAlign w:val="top"/>
          </w:tcPr>
          <w:p>
            <w:pPr>
              <w:spacing w:line="420" w:lineRule="atLeast"/>
              <w:rPr>
                <w:rFonts w:ascii="宋体"/>
                <w:sz w:val="24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spacing w:line="420" w:lineRule="atLeas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1" w:hRule="atLeast"/>
          <w:jc w:val="center"/>
        </w:trPr>
        <w:tc>
          <w:tcPr>
            <w:tcW w:w="1415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525" w:firstLineChars="219"/>
              <w:textAlignment w:val="auto"/>
              <w:rPr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5445"/>
              </w:tabs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after="156" w:afterLines="50" w:line="240" w:lineRule="exact"/>
              <w:ind w:right="960" w:firstLine="600" w:firstLineChars="250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</w:rPr>
              <w:t>执行合伙事务的合伙人（法定代表人）签名并盖章：资产评估机构盖章：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  月  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525" w:firstLineChars="219"/>
              <w:textAlignment w:val="auto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3" w:hRule="atLeast"/>
          <w:jc w:val="center"/>
        </w:trPr>
        <w:tc>
          <w:tcPr>
            <w:tcW w:w="1415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5445"/>
              </w:tabs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after="156" w:afterLines="50" w:line="240" w:lineRule="exact"/>
              <w:ind w:right="960" w:firstLine="600" w:firstLineChars="250"/>
              <w:textAlignment w:val="auto"/>
              <w:rPr>
                <w:sz w:val="24"/>
              </w:rPr>
            </w:pPr>
            <w:r>
              <w:rPr>
                <w:rFonts w:hint="eastAsia"/>
                <w:sz w:val="24"/>
              </w:rPr>
              <w:t>经核实，上述</w:t>
            </w:r>
            <w:r>
              <w:rPr>
                <w:rFonts w:hint="eastAsia"/>
                <w:sz w:val="24"/>
                <w:u w:val="single"/>
              </w:rPr>
              <w:t xml:space="preserve">     </w:t>
            </w:r>
            <w:r>
              <w:rPr>
                <w:rFonts w:hint="eastAsia"/>
                <w:sz w:val="24"/>
              </w:rPr>
              <w:t>名资产评估师情况属实。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5445"/>
              </w:tabs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after="156" w:afterLines="50" w:line="240" w:lineRule="exact"/>
              <w:ind w:right="960" w:firstLine="600" w:firstLineChars="250"/>
              <w:textAlignment w:val="auto"/>
              <w:rPr>
                <w:sz w:val="24"/>
              </w:rPr>
            </w:pPr>
            <w:r>
              <w:rPr>
                <w:rFonts w:hint="eastAsia"/>
                <w:sz w:val="24"/>
              </w:rPr>
              <w:t>经办人：        负责人：                                            湖北省资产评估协会盖章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5445"/>
              </w:tabs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after="156" w:afterLines="50" w:line="240" w:lineRule="exact"/>
              <w:ind w:right="960" w:firstLine="600" w:firstLineChars="250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                                 年   月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firstLine="482"/>
        <w:textAlignment w:val="auto"/>
        <w:rPr>
          <w:rFonts w:ascii="宋体" w:hAnsi="宋体"/>
        </w:rPr>
        <w:sectPr>
          <w:footerReference r:id="rId3" w:type="default"/>
          <w:pgSz w:w="16838" w:h="11906" w:orient="landscape"/>
          <w:pgMar w:top="1344" w:right="1134" w:bottom="1344" w:left="1440" w:header="851" w:footer="992" w:gutter="0"/>
          <w:pgNumType w:fmt="numberInDash" w:start="9"/>
          <w:cols w:space="720" w:num="1"/>
          <w:docGrid w:type="linesAndChars" w:linePitch="312" w:charSpace="0"/>
        </w:sectPr>
      </w:pPr>
      <w:r>
        <w:rPr>
          <w:rFonts w:hint="eastAsia" w:ascii="宋体" w:hAnsi="宋体"/>
        </w:rPr>
        <w:t>注：</w:t>
      </w:r>
      <w:r>
        <w:rPr>
          <w:rFonts w:hint="eastAsia" w:ascii="宋体"/>
        </w:rPr>
        <w:t>其他专业领域的评估师是指根据</w:t>
      </w:r>
      <w:r>
        <w:rPr>
          <w:rFonts w:ascii="宋体"/>
        </w:rPr>
        <w:t>国务院有关文件确定的</w:t>
      </w:r>
      <w:r>
        <w:rPr>
          <w:rFonts w:hint="eastAsia" w:ascii="宋体"/>
        </w:rPr>
        <w:t>评估专业资格人员，“其他专业领域的评估师资格名称”栏目中请填写</w:t>
      </w:r>
      <w:r>
        <w:rPr>
          <w:rFonts w:hint="eastAsia" w:ascii="宋体" w:hAnsi="宋体"/>
        </w:rPr>
        <w:t>房地产估价师、土地估价师、矿业权评估师等，“</w:t>
      </w:r>
      <w:r>
        <w:rPr>
          <w:rFonts w:hint="eastAsia" w:ascii="宋体"/>
        </w:rPr>
        <w:t>其他专业领域的评估师资格证书编号”栏目中请填写对应证书的编号</w:t>
      </w:r>
      <w:r>
        <w:rPr>
          <w:rFonts w:hint="eastAsia" w:ascii="宋体" w:hAnsi="宋体"/>
        </w:rPr>
        <w:t>。其他附件中涉及上述两项栏目的，填写方式相同，不再另行备注。</w:t>
      </w:r>
    </w:p>
    <w:p>
      <w:bookmarkStart w:id="0" w:name="_GoBack"/>
      <w:bookmarkEnd w:id="0"/>
    </w:p>
    <w:sectPr>
      <w:footerReference r:id="rId4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E1B0AA4A-45BC-4F05-94BC-238AC9DD2FEB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2" w:fontKey="{1581BCA4-6FA2-4211-94BF-DD868A18CDFA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3" w:fontKey="{43A11253-AA6A-4D0B-BE0E-F7DB17984529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 w:firstLine="360"/>
      <w:rPr>
        <w:sz w:val="30"/>
        <w:szCs w:val="3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 w:firstLine="360"/>
      <w:rPr>
        <w:sz w:val="30"/>
        <w:szCs w:val="30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IwMTg0ZWMwOWFiODNjYjJjZGQ0YjU1MTkyYjY3YTgifQ=="/>
    <w:docVar w:name="KSO_WPS_MARK_KEY" w:val="6a611741-df8d-4dfa-b665-8d652c852bc4"/>
  </w:docVars>
  <w:rsids>
    <w:rsidRoot w:val="00000000"/>
    <w:rsid w:val="23557D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2024-10-11T07:55:45Z</dcterms:created>
  <dc:creator>kongxin</dc:creator>
  <cp:lastModifiedBy>梁小棋</cp:lastModifiedBy>
  <dcterms:modified xsi:type="dcterms:W3CDTF">2024-10-11T07:57:44Z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0FB8FBFD571347749F20FDC6555F9738_12</vt:lpwstr>
  </property>
</Properties>
</file>